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85C4C" w14:textId="77777777" w:rsidR="0058292E" w:rsidRDefault="000D7E79" w:rsidP="0058292E">
      <w:pPr>
        <w:pBdr>
          <w:top w:val="nil"/>
          <w:left w:val="nil"/>
          <w:bottom w:val="nil"/>
          <w:right w:val="nil"/>
          <w:between w:val="nil"/>
        </w:pBdr>
        <w:jc w:val="center"/>
        <w:rPr>
          <w:b/>
          <w:color w:val="000000"/>
          <w:sz w:val="28"/>
          <w:szCs w:val="28"/>
        </w:rPr>
      </w:pPr>
      <w:r>
        <w:rPr>
          <w:b/>
          <w:color w:val="000000"/>
          <w:sz w:val="28"/>
          <w:szCs w:val="28"/>
        </w:rPr>
        <w:t xml:space="preserve">INFORME GENERAL DEL COMITÉ DE EVALUACIÓN DE CARTERA </w:t>
      </w:r>
    </w:p>
    <w:p w14:paraId="0EC6BC11" w14:textId="13FC70E4" w:rsidR="002906ED" w:rsidRDefault="000D7E79" w:rsidP="0058292E">
      <w:pPr>
        <w:pBdr>
          <w:top w:val="nil"/>
          <w:left w:val="nil"/>
          <w:bottom w:val="nil"/>
          <w:right w:val="nil"/>
          <w:between w:val="nil"/>
        </w:pBdr>
        <w:jc w:val="center"/>
        <w:rPr>
          <w:b/>
          <w:color w:val="000000"/>
          <w:sz w:val="28"/>
          <w:szCs w:val="28"/>
        </w:rPr>
      </w:pPr>
      <w:r>
        <w:rPr>
          <w:b/>
          <w:color w:val="000000"/>
          <w:sz w:val="28"/>
          <w:szCs w:val="28"/>
        </w:rPr>
        <w:t>2020</w:t>
      </w:r>
      <w:r w:rsidR="0058292E">
        <w:rPr>
          <w:b/>
          <w:color w:val="000000"/>
          <w:sz w:val="28"/>
          <w:szCs w:val="28"/>
        </w:rPr>
        <w:t xml:space="preserve"> - 2021</w:t>
      </w:r>
    </w:p>
    <w:p w14:paraId="7929891A" w14:textId="4E5385D0" w:rsidR="002906ED" w:rsidRPr="0058292E" w:rsidRDefault="0058292E" w:rsidP="0058292E">
      <w:pPr>
        <w:pBdr>
          <w:top w:val="nil"/>
          <w:left w:val="nil"/>
          <w:bottom w:val="nil"/>
          <w:right w:val="nil"/>
          <w:between w:val="nil"/>
        </w:pBdr>
        <w:jc w:val="center"/>
        <w:rPr>
          <w:b/>
          <w:bCs/>
          <w:color w:val="000000"/>
          <w:sz w:val="28"/>
          <w:szCs w:val="28"/>
        </w:rPr>
      </w:pPr>
      <w:r w:rsidRPr="0058292E">
        <w:rPr>
          <w:b/>
          <w:bCs/>
          <w:color w:val="000000"/>
          <w:sz w:val="28"/>
          <w:szCs w:val="28"/>
        </w:rPr>
        <w:t xml:space="preserve"> MARZO </w:t>
      </w:r>
      <w:r>
        <w:rPr>
          <w:b/>
          <w:bCs/>
          <w:color w:val="000000"/>
          <w:sz w:val="28"/>
          <w:szCs w:val="28"/>
        </w:rPr>
        <w:t xml:space="preserve"> 27 </w:t>
      </w:r>
      <w:r w:rsidR="000D7E79" w:rsidRPr="0058292E">
        <w:rPr>
          <w:b/>
          <w:bCs/>
          <w:color w:val="000000"/>
          <w:sz w:val="28"/>
          <w:szCs w:val="28"/>
        </w:rPr>
        <w:t>DE  202</w:t>
      </w:r>
      <w:r w:rsidRPr="0058292E">
        <w:rPr>
          <w:b/>
          <w:bCs/>
          <w:color w:val="000000"/>
          <w:sz w:val="28"/>
          <w:szCs w:val="28"/>
        </w:rPr>
        <w:t>1</w:t>
      </w:r>
    </w:p>
    <w:p w14:paraId="497D9BBD" w14:textId="77777777" w:rsidR="002906ED" w:rsidRPr="0058292E" w:rsidRDefault="002906ED">
      <w:pPr>
        <w:pBdr>
          <w:top w:val="nil"/>
          <w:left w:val="nil"/>
          <w:bottom w:val="nil"/>
          <w:right w:val="nil"/>
          <w:between w:val="nil"/>
        </w:pBdr>
        <w:jc w:val="both"/>
        <w:rPr>
          <w:b/>
          <w:bCs/>
          <w:color w:val="000000"/>
          <w:sz w:val="28"/>
          <w:szCs w:val="28"/>
        </w:rPr>
      </w:pPr>
    </w:p>
    <w:p w14:paraId="72CC6DB6" w14:textId="77777777" w:rsidR="002906ED" w:rsidRDefault="002906ED">
      <w:pPr>
        <w:jc w:val="both"/>
        <w:rPr>
          <w:b/>
          <w:sz w:val="28"/>
          <w:szCs w:val="28"/>
        </w:rPr>
      </w:pPr>
    </w:p>
    <w:p w14:paraId="2799C6F8" w14:textId="77777777" w:rsidR="002906ED" w:rsidRDefault="000D7E79">
      <w:pPr>
        <w:jc w:val="both"/>
        <w:rPr>
          <w:b/>
          <w:sz w:val="28"/>
          <w:szCs w:val="28"/>
        </w:rPr>
      </w:pPr>
      <w:r>
        <w:rPr>
          <w:b/>
          <w:sz w:val="28"/>
          <w:szCs w:val="28"/>
        </w:rPr>
        <w:t xml:space="preserve">INTEGRANTES: </w:t>
      </w:r>
    </w:p>
    <w:p w14:paraId="5172E8A4" w14:textId="77777777" w:rsidR="002906ED" w:rsidRDefault="000D7E79">
      <w:pPr>
        <w:jc w:val="both"/>
        <w:rPr>
          <w:sz w:val="28"/>
          <w:szCs w:val="28"/>
        </w:rPr>
      </w:pPr>
      <w:r>
        <w:rPr>
          <w:sz w:val="28"/>
          <w:szCs w:val="28"/>
        </w:rPr>
        <w:t>María Nidia Ramírez Vélez (Coordinadora)</w:t>
      </w:r>
    </w:p>
    <w:p w14:paraId="4053BF88" w14:textId="77777777" w:rsidR="002906ED" w:rsidRDefault="000D7E79">
      <w:pPr>
        <w:jc w:val="both"/>
        <w:rPr>
          <w:sz w:val="28"/>
          <w:szCs w:val="28"/>
        </w:rPr>
      </w:pPr>
      <w:r>
        <w:rPr>
          <w:sz w:val="28"/>
          <w:szCs w:val="28"/>
        </w:rPr>
        <w:t xml:space="preserve">Nancy Cano Estrada </w:t>
      </w:r>
    </w:p>
    <w:p w14:paraId="67E7AA15" w14:textId="77777777" w:rsidR="002906ED" w:rsidRDefault="000D7E79">
      <w:pPr>
        <w:jc w:val="both"/>
        <w:rPr>
          <w:sz w:val="28"/>
          <w:szCs w:val="28"/>
        </w:rPr>
      </w:pPr>
      <w:r>
        <w:rPr>
          <w:sz w:val="28"/>
          <w:szCs w:val="28"/>
        </w:rPr>
        <w:t xml:space="preserve">Alba María Gutiérrez </w:t>
      </w:r>
    </w:p>
    <w:p w14:paraId="3D74D420" w14:textId="77777777" w:rsidR="002906ED" w:rsidRDefault="000D7E79">
      <w:pPr>
        <w:jc w:val="both"/>
        <w:rPr>
          <w:sz w:val="28"/>
          <w:szCs w:val="28"/>
        </w:rPr>
      </w:pPr>
      <w:r>
        <w:rPr>
          <w:sz w:val="28"/>
          <w:szCs w:val="28"/>
        </w:rPr>
        <w:t xml:space="preserve">Carlos Alexander Ruiz </w:t>
      </w:r>
    </w:p>
    <w:p w14:paraId="45FAAA10" w14:textId="77777777" w:rsidR="002906ED" w:rsidRDefault="000D7E79">
      <w:pPr>
        <w:jc w:val="both"/>
        <w:rPr>
          <w:sz w:val="28"/>
          <w:szCs w:val="28"/>
        </w:rPr>
      </w:pPr>
      <w:r>
        <w:rPr>
          <w:sz w:val="28"/>
          <w:szCs w:val="28"/>
        </w:rPr>
        <w:t>Irene Montes García</w:t>
      </w:r>
    </w:p>
    <w:p w14:paraId="3C5B0ADE" w14:textId="77777777" w:rsidR="002906ED" w:rsidRDefault="000D7E79">
      <w:pPr>
        <w:jc w:val="both"/>
        <w:rPr>
          <w:sz w:val="28"/>
          <w:szCs w:val="28"/>
        </w:rPr>
      </w:pPr>
      <w:r>
        <w:rPr>
          <w:sz w:val="28"/>
          <w:szCs w:val="28"/>
        </w:rPr>
        <w:t>Flor Matilde Vallejo Henao</w:t>
      </w:r>
    </w:p>
    <w:p w14:paraId="0BBCC570" w14:textId="77777777" w:rsidR="002906ED" w:rsidRDefault="002906ED">
      <w:pPr>
        <w:jc w:val="both"/>
        <w:rPr>
          <w:sz w:val="28"/>
          <w:szCs w:val="28"/>
        </w:rPr>
      </w:pPr>
    </w:p>
    <w:p w14:paraId="63EF048B" w14:textId="77777777" w:rsidR="002906ED" w:rsidRDefault="002906ED">
      <w:pPr>
        <w:spacing w:line="259" w:lineRule="auto"/>
        <w:jc w:val="both"/>
        <w:rPr>
          <w:sz w:val="28"/>
          <w:szCs w:val="28"/>
        </w:rPr>
      </w:pPr>
    </w:p>
    <w:p w14:paraId="638E44CD" w14:textId="77777777" w:rsidR="002906ED" w:rsidRDefault="000D7E79">
      <w:pPr>
        <w:spacing w:after="5" w:line="250" w:lineRule="auto"/>
        <w:ind w:left="720" w:hanging="360"/>
        <w:jc w:val="both"/>
        <w:rPr>
          <w:sz w:val="28"/>
          <w:szCs w:val="28"/>
        </w:rPr>
      </w:pPr>
      <w:r>
        <w:rPr>
          <w:b/>
          <w:sz w:val="28"/>
          <w:szCs w:val="28"/>
        </w:rPr>
        <w:t xml:space="preserve">1. ACTIVIDADES REALIZADAS POR EL COMITÉ DE EVALUACIÓN DE CARTERA EN EL AÑO 2020: </w:t>
      </w:r>
    </w:p>
    <w:p w14:paraId="63F2536C" w14:textId="77777777" w:rsidR="002906ED" w:rsidRDefault="000D7E79">
      <w:pPr>
        <w:spacing w:line="259" w:lineRule="auto"/>
        <w:ind w:left="360"/>
        <w:jc w:val="both"/>
        <w:rPr>
          <w:sz w:val="28"/>
          <w:szCs w:val="28"/>
        </w:rPr>
      </w:pPr>
      <w:r>
        <w:rPr>
          <w:sz w:val="28"/>
          <w:szCs w:val="28"/>
        </w:rPr>
        <w:t xml:space="preserve"> </w:t>
      </w:r>
    </w:p>
    <w:p w14:paraId="6277461A" w14:textId="77777777" w:rsidR="002906ED" w:rsidRDefault="000D7E79">
      <w:pPr>
        <w:jc w:val="both"/>
        <w:rPr>
          <w:sz w:val="28"/>
          <w:szCs w:val="28"/>
        </w:rPr>
      </w:pPr>
      <w:r>
        <w:rPr>
          <w:sz w:val="28"/>
          <w:szCs w:val="28"/>
        </w:rPr>
        <w:t>El Comité de Evaluación de Cartera, durante el año 2020, en cumplimiento de sus funciones presenta el informe al consejo de administración de Coomei correspondiente a la vigencia 2020 De acuerdo con los registros realizados por el Comité en sus distintas reuniones, durante este periodo.</w:t>
      </w:r>
    </w:p>
    <w:p w14:paraId="14C9348E" w14:textId="77777777" w:rsidR="002906ED" w:rsidRDefault="002906ED">
      <w:pPr>
        <w:jc w:val="both"/>
        <w:rPr>
          <w:sz w:val="28"/>
          <w:szCs w:val="28"/>
        </w:rPr>
      </w:pPr>
    </w:p>
    <w:p w14:paraId="05F1EEA7" w14:textId="16934E47" w:rsidR="002906ED" w:rsidRDefault="000D7E79">
      <w:pPr>
        <w:numPr>
          <w:ilvl w:val="0"/>
          <w:numId w:val="3"/>
        </w:numPr>
        <w:pBdr>
          <w:top w:val="nil"/>
          <w:left w:val="nil"/>
          <w:bottom w:val="nil"/>
          <w:right w:val="nil"/>
          <w:between w:val="nil"/>
        </w:pBdr>
        <w:spacing w:line="259" w:lineRule="auto"/>
        <w:jc w:val="both"/>
        <w:rPr>
          <w:color w:val="000000"/>
          <w:sz w:val="28"/>
          <w:szCs w:val="28"/>
        </w:rPr>
      </w:pPr>
      <w:r>
        <w:rPr>
          <w:color w:val="000000"/>
          <w:sz w:val="28"/>
          <w:szCs w:val="28"/>
        </w:rPr>
        <w:t>En la evaluación Mensual de Carter</w:t>
      </w:r>
      <w:r>
        <w:rPr>
          <w:sz w:val="28"/>
          <w:szCs w:val="28"/>
        </w:rPr>
        <w:t>a</w:t>
      </w:r>
      <w:r>
        <w:rPr>
          <w:color w:val="000000"/>
          <w:sz w:val="28"/>
          <w:szCs w:val="28"/>
        </w:rPr>
        <w:t xml:space="preserve"> se analiza</w:t>
      </w:r>
      <w:r>
        <w:rPr>
          <w:sz w:val="28"/>
          <w:szCs w:val="28"/>
        </w:rPr>
        <w:t>n</w:t>
      </w:r>
      <w:r>
        <w:rPr>
          <w:color w:val="000000"/>
          <w:sz w:val="28"/>
          <w:szCs w:val="28"/>
        </w:rPr>
        <w:t xml:space="preserve"> recaudos de cartera, formas y comportami</w:t>
      </w:r>
      <w:r>
        <w:rPr>
          <w:sz w:val="28"/>
          <w:szCs w:val="28"/>
        </w:rPr>
        <w:t xml:space="preserve">entos </w:t>
      </w:r>
      <w:r>
        <w:rPr>
          <w:color w:val="000000"/>
          <w:sz w:val="28"/>
          <w:szCs w:val="28"/>
        </w:rPr>
        <w:t>de pago, crecimiento de la cartera y mora</w:t>
      </w:r>
      <w:r w:rsidR="00BA65ED">
        <w:rPr>
          <w:color w:val="000000"/>
          <w:sz w:val="28"/>
          <w:szCs w:val="28"/>
        </w:rPr>
        <w:t>.</w:t>
      </w:r>
      <w:r>
        <w:rPr>
          <w:color w:val="000000"/>
          <w:sz w:val="28"/>
          <w:szCs w:val="28"/>
        </w:rPr>
        <w:t xml:space="preserve"> </w:t>
      </w:r>
      <w:r w:rsidR="00BA65ED">
        <w:rPr>
          <w:sz w:val="28"/>
          <w:szCs w:val="28"/>
        </w:rPr>
        <w:t>S</w:t>
      </w:r>
      <w:r>
        <w:rPr>
          <w:color w:val="000000"/>
          <w:sz w:val="28"/>
          <w:szCs w:val="28"/>
        </w:rPr>
        <w:t xml:space="preserve">e verifica la </w:t>
      </w:r>
      <w:r w:rsidR="00BA65ED">
        <w:rPr>
          <w:color w:val="000000"/>
          <w:sz w:val="28"/>
          <w:szCs w:val="28"/>
        </w:rPr>
        <w:t>información de</w:t>
      </w:r>
      <w:r>
        <w:rPr>
          <w:color w:val="000000"/>
          <w:sz w:val="28"/>
          <w:szCs w:val="28"/>
        </w:rPr>
        <w:t xml:space="preserve"> </w:t>
      </w:r>
      <w:r>
        <w:rPr>
          <w:sz w:val="28"/>
          <w:szCs w:val="28"/>
        </w:rPr>
        <w:t>créditos</w:t>
      </w:r>
      <w:r>
        <w:rPr>
          <w:color w:val="000000"/>
          <w:sz w:val="28"/>
          <w:szCs w:val="28"/>
        </w:rPr>
        <w:t xml:space="preserve"> otorga</w:t>
      </w:r>
      <w:r>
        <w:rPr>
          <w:sz w:val="28"/>
          <w:szCs w:val="28"/>
        </w:rPr>
        <w:t xml:space="preserve">dos para su seguimiento y control, </w:t>
      </w:r>
      <w:r>
        <w:rPr>
          <w:color w:val="000000"/>
          <w:sz w:val="28"/>
          <w:szCs w:val="28"/>
        </w:rPr>
        <w:t xml:space="preserve">observamos en su mayoría estas cuentan </w:t>
      </w:r>
      <w:r>
        <w:rPr>
          <w:color w:val="000000"/>
          <w:sz w:val="28"/>
          <w:szCs w:val="28"/>
        </w:rPr>
        <w:lastRenderedPageBreak/>
        <w:t xml:space="preserve">con </w:t>
      </w:r>
      <w:r>
        <w:rPr>
          <w:sz w:val="28"/>
          <w:szCs w:val="28"/>
        </w:rPr>
        <w:t>l</w:t>
      </w:r>
      <w:r>
        <w:rPr>
          <w:color w:val="000000"/>
          <w:sz w:val="28"/>
          <w:szCs w:val="28"/>
        </w:rPr>
        <w:t xml:space="preserve">a información </w:t>
      </w:r>
      <w:r>
        <w:rPr>
          <w:sz w:val="28"/>
          <w:szCs w:val="28"/>
        </w:rPr>
        <w:t xml:space="preserve">necesaria </w:t>
      </w:r>
      <w:r>
        <w:rPr>
          <w:color w:val="000000"/>
          <w:sz w:val="28"/>
          <w:szCs w:val="28"/>
        </w:rPr>
        <w:t xml:space="preserve">solicitada para su </w:t>
      </w:r>
      <w:r>
        <w:rPr>
          <w:sz w:val="28"/>
          <w:szCs w:val="28"/>
        </w:rPr>
        <w:t>aprobación</w:t>
      </w:r>
      <w:r>
        <w:rPr>
          <w:color w:val="000000"/>
          <w:sz w:val="28"/>
          <w:szCs w:val="28"/>
        </w:rPr>
        <w:t xml:space="preserve"> y </w:t>
      </w:r>
      <w:r>
        <w:rPr>
          <w:sz w:val="28"/>
          <w:szCs w:val="28"/>
        </w:rPr>
        <w:t>estudio del crédito</w:t>
      </w:r>
      <w:r>
        <w:rPr>
          <w:color w:val="000000"/>
          <w:sz w:val="28"/>
          <w:szCs w:val="28"/>
        </w:rPr>
        <w:t xml:space="preserve"> quedando por subsanar algunos hallazgos en el análisis a </w:t>
      </w:r>
      <w:r w:rsidR="0058292E">
        <w:rPr>
          <w:color w:val="000000"/>
          <w:sz w:val="28"/>
          <w:szCs w:val="28"/>
        </w:rPr>
        <w:t>las solicitudes</w:t>
      </w:r>
      <w:r>
        <w:rPr>
          <w:color w:val="000000"/>
          <w:sz w:val="28"/>
          <w:szCs w:val="28"/>
        </w:rPr>
        <w:t xml:space="preserve"> de los créditos.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2D5D1F96" w14:textId="77777777" w:rsidR="002906ED" w:rsidRDefault="000D7E79">
      <w:pPr>
        <w:pBdr>
          <w:top w:val="nil"/>
          <w:left w:val="nil"/>
          <w:bottom w:val="nil"/>
          <w:right w:val="nil"/>
          <w:between w:val="nil"/>
        </w:pBdr>
        <w:ind w:left="720"/>
        <w:jc w:val="both"/>
        <w:rPr>
          <w:color w:val="000000"/>
          <w:sz w:val="28"/>
          <w:szCs w:val="28"/>
        </w:rPr>
      </w:pPr>
      <w:r>
        <w:rPr>
          <w:color w:val="000000"/>
          <w:sz w:val="28"/>
          <w:szCs w:val="28"/>
        </w:rPr>
        <w:t>El Comité de Cartera envió recomendaciones al comité de Crédito cuando ha sido necesario, en especial para el estudio de créditos, como son la</w:t>
      </w:r>
      <w:r>
        <w:rPr>
          <w:sz w:val="28"/>
          <w:szCs w:val="28"/>
        </w:rPr>
        <w:t xml:space="preserve"> </w:t>
      </w:r>
      <w:r>
        <w:rPr>
          <w:color w:val="000000"/>
          <w:sz w:val="28"/>
          <w:szCs w:val="28"/>
        </w:rPr>
        <w:t xml:space="preserve">Confirmación de referencias de los deudores y codeudores solidarios, análisis de estados financieros, Solicitud de solvencia del deudor y deudores solidarios, comportamientos de pago de créditos pasados, dejar registros de notas aclaratoria cuando sea el caso de </w:t>
      </w:r>
      <w:r>
        <w:rPr>
          <w:sz w:val="28"/>
          <w:szCs w:val="28"/>
        </w:rPr>
        <w:t>créditos</w:t>
      </w:r>
      <w:r>
        <w:rPr>
          <w:color w:val="000000"/>
          <w:sz w:val="28"/>
          <w:szCs w:val="28"/>
        </w:rPr>
        <w:t xml:space="preserve"> que </w:t>
      </w:r>
      <w:r>
        <w:rPr>
          <w:sz w:val="28"/>
          <w:szCs w:val="28"/>
        </w:rPr>
        <w:t>no cumplen las condiciones y son desembolsados</w:t>
      </w:r>
      <w:r>
        <w:rPr>
          <w:color w:val="000000"/>
          <w:sz w:val="28"/>
          <w:szCs w:val="28"/>
        </w:rPr>
        <w:t xml:space="preserve">. </w:t>
      </w:r>
    </w:p>
    <w:p w14:paraId="689189B1" w14:textId="77777777" w:rsidR="002906ED" w:rsidRDefault="002906ED">
      <w:pPr>
        <w:pBdr>
          <w:top w:val="nil"/>
          <w:left w:val="nil"/>
          <w:bottom w:val="nil"/>
          <w:right w:val="nil"/>
          <w:between w:val="nil"/>
        </w:pBdr>
        <w:ind w:left="720"/>
        <w:jc w:val="both"/>
        <w:rPr>
          <w:color w:val="000000"/>
          <w:sz w:val="28"/>
          <w:szCs w:val="28"/>
        </w:rPr>
      </w:pPr>
    </w:p>
    <w:p w14:paraId="325C4117" w14:textId="18DBFDA9" w:rsidR="002906ED" w:rsidRDefault="0058292E" w:rsidP="00BA65ED">
      <w:pPr>
        <w:pBdr>
          <w:top w:val="nil"/>
          <w:left w:val="nil"/>
          <w:bottom w:val="nil"/>
          <w:right w:val="nil"/>
          <w:between w:val="nil"/>
        </w:pBdr>
        <w:ind w:left="360"/>
        <w:jc w:val="both"/>
        <w:rPr>
          <w:color w:val="000000"/>
          <w:sz w:val="28"/>
          <w:szCs w:val="28"/>
        </w:rPr>
      </w:pPr>
      <w:r>
        <w:rPr>
          <w:sz w:val="28"/>
          <w:szCs w:val="28"/>
        </w:rPr>
        <w:t>b</w:t>
      </w:r>
      <w:r w:rsidR="00BA65ED">
        <w:rPr>
          <w:sz w:val="28"/>
          <w:szCs w:val="28"/>
        </w:rPr>
        <w:t xml:space="preserve">) </w:t>
      </w:r>
      <w:r w:rsidR="000D7E79">
        <w:rPr>
          <w:sz w:val="28"/>
          <w:szCs w:val="28"/>
        </w:rPr>
        <w:t>L</w:t>
      </w:r>
      <w:r w:rsidR="000D7E79">
        <w:rPr>
          <w:color w:val="000000"/>
          <w:sz w:val="28"/>
          <w:szCs w:val="28"/>
        </w:rPr>
        <w:t>a Evaluación</w:t>
      </w:r>
      <w:r w:rsidR="000D7E79">
        <w:rPr>
          <w:sz w:val="28"/>
          <w:szCs w:val="28"/>
        </w:rPr>
        <w:t xml:space="preserve"> masiva de la </w:t>
      </w:r>
      <w:r w:rsidR="000D7E79">
        <w:rPr>
          <w:color w:val="000000"/>
          <w:sz w:val="28"/>
          <w:szCs w:val="28"/>
        </w:rPr>
        <w:t xml:space="preserve">cartera de todos los asociados </w:t>
      </w:r>
      <w:r w:rsidR="000D7E79">
        <w:rPr>
          <w:sz w:val="28"/>
          <w:szCs w:val="28"/>
        </w:rPr>
        <w:t xml:space="preserve">a 30 noviembre </w:t>
      </w:r>
      <w:r w:rsidR="000D7E79">
        <w:rPr>
          <w:color w:val="000000"/>
          <w:sz w:val="28"/>
          <w:szCs w:val="28"/>
        </w:rPr>
        <w:t xml:space="preserve">2020 a corte 31 diciembre del mismo año, estos </w:t>
      </w:r>
      <w:r w:rsidR="000D7E79">
        <w:rPr>
          <w:sz w:val="28"/>
          <w:szCs w:val="28"/>
        </w:rPr>
        <w:t>datos suministrados</w:t>
      </w:r>
      <w:r w:rsidR="000D7E79">
        <w:rPr>
          <w:color w:val="000000"/>
          <w:sz w:val="28"/>
          <w:szCs w:val="28"/>
        </w:rPr>
        <w:t xml:space="preserve"> por el proveedor Transición-Cifin contiene </w:t>
      </w:r>
      <w:r w:rsidR="000D7E79">
        <w:rPr>
          <w:sz w:val="28"/>
          <w:szCs w:val="28"/>
        </w:rPr>
        <w:t>un</w:t>
      </w:r>
      <w:r w:rsidR="000D7E79">
        <w:rPr>
          <w:color w:val="000000"/>
          <w:sz w:val="28"/>
          <w:szCs w:val="28"/>
        </w:rPr>
        <w:t xml:space="preserve"> análisis de asociados con Crédito Vigentes </w:t>
      </w:r>
      <w:r w:rsidR="000D7E79">
        <w:rPr>
          <w:sz w:val="28"/>
          <w:szCs w:val="28"/>
        </w:rPr>
        <w:t xml:space="preserve">con entidades diferentes </w:t>
      </w:r>
      <w:r w:rsidR="00092085">
        <w:rPr>
          <w:sz w:val="28"/>
          <w:szCs w:val="28"/>
        </w:rPr>
        <w:t>a coomei</w:t>
      </w:r>
      <w:r w:rsidR="000D7E79">
        <w:rPr>
          <w:sz w:val="28"/>
          <w:szCs w:val="28"/>
        </w:rPr>
        <w:t>. C</w:t>
      </w:r>
      <w:r w:rsidR="000D7E79">
        <w:rPr>
          <w:color w:val="000000"/>
          <w:sz w:val="28"/>
          <w:szCs w:val="28"/>
        </w:rPr>
        <w:t>on es</w:t>
      </w:r>
      <w:r w:rsidR="000D7E79">
        <w:rPr>
          <w:sz w:val="28"/>
          <w:szCs w:val="28"/>
        </w:rPr>
        <w:t xml:space="preserve">tos </w:t>
      </w:r>
      <w:r w:rsidR="000D7E79">
        <w:rPr>
          <w:color w:val="000000"/>
          <w:sz w:val="28"/>
          <w:szCs w:val="28"/>
        </w:rPr>
        <w:t>criterios del numeral 2.4: capacidad de pago, solvencia, hábitos de pago, garantías, número de veces que el crédito ha sido reestructurado e información de las centrales de riesgo para establecer cuáles de esos deudores que aparentemente están bien o no están tan mal, a futuro representan un mayor riesgo para coomei porque  evidencian niveles de endeudamiento muy altos que hacen pensar que no van a poder pagarle a todos y entonces van a entrar en mora con algunos y podrían ser objeto de  declararse insolventes. Sobre esas personas la idea es poner el foco para establecer si las garantías pueden mejorarse, si hay alguna</w:t>
      </w:r>
      <w:r w:rsidR="00092085">
        <w:rPr>
          <w:color w:val="000000"/>
          <w:sz w:val="28"/>
          <w:szCs w:val="28"/>
        </w:rPr>
        <w:t>s</w:t>
      </w:r>
      <w:r w:rsidR="000D7E79">
        <w:rPr>
          <w:color w:val="000000"/>
          <w:sz w:val="28"/>
          <w:szCs w:val="28"/>
        </w:rPr>
        <w:t xml:space="preserve"> medidas que ayude a mitigar la probabilidad de incumplimiento o si tal vez debería </w:t>
      </w:r>
      <w:r w:rsidR="000D7E79">
        <w:rPr>
          <w:sz w:val="28"/>
          <w:szCs w:val="28"/>
        </w:rPr>
        <w:t>reclasificarse</w:t>
      </w:r>
      <w:r w:rsidR="000D7E79">
        <w:rPr>
          <w:color w:val="000000"/>
          <w:sz w:val="28"/>
          <w:szCs w:val="28"/>
        </w:rPr>
        <w:t xml:space="preserve"> esos créditos y provisionarlos.</w:t>
      </w:r>
    </w:p>
    <w:p w14:paraId="1839D784" w14:textId="77777777" w:rsidR="002906ED" w:rsidRDefault="002906ED">
      <w:pPr>
        <w:jc w:val="both"/>
        <w:rPr>
          <w:sz w:val="28"/>
          <w:szCs w:val="28"/>
        </w:rPr>
      </w:pPr>
    </w:p>
    <w:p w14:paraId="7E0D935A" w14:textId="77777777" w:rsidR="002906ED" w:rsidRDefault="002906ED">
      <w:pPr>
        <w:jc w:val="both"/>
        <w:rPr>
          <w:sz w:val="28"/>
          <w:szCs w:val="28"/>
        </w:rPr>
      </w:pPr>
    </w:p>
    <w:p w14:paraId="69DAF0EF" w14:textId="77777777" w:rsidR="002906ED" w:rsidRDefault="002906ED">
      <w:pPr>
        <w:pBdr>
          <w:top w:val="nil"/>
          <w:left w:val="nil"/>
          <w:bottom w:val="nil"/>
          <w:right w:val="nil"/>
          <w:between w:val="nil"/>
        </w:pBdr>
        <w:ind w:left="720"/>
        <w:jc w:val="both"/>
        <w:rPr>
          <w:color w:val="000000"/>
          <w:sz w:val="28"/>
          <w:szCs w:val="28"/>
        </w:rPr>
      </w:pPr>
    </w:p>
    <w:p w14:paraId="0F59E9CD" w14:textId="40E0D859" w:rsidR="002906ED" w:rsidRPr="0058292E" w:rsidRDefault="000D7E79" w:rsidP="0058292E">
      <w:pPr>
        <w:pStyle w:val="Prrafodelista"/>
        <w:numPr>
          <w:ilvl w:val="0"/>
          <w:numId w:val="8"/>
        </w:numPr>
        <w:pBdr>
          <w:top w:val="nil"/>
          <w:left w:val="nil"/>
          <w:bottom w:val="nil"/>
          <w:right w:val="nil"/>
          <w:between w:val="nil"/>
        </w:pBdr>
        <w:jc w:val="both"/>
        <w:rPr>
          <w:color w:val="000000"/>
          <w:sz w:val="28"/>
          <w:szCs w:val="28"/>
        </w:rPr>
      </w:pPr>
      <w:r w:rsidRPr="0058292E">
        <w:rPr>
          <w:sz w:val="28"/>
          <w:szCs w:val="28"/>
        </w:rPr>
        <w:lastRenderedPageBreak/>
        <w:t xml:space="preserve">con este análisis del proveedor </w:t>
      </w:r>
      <w:proofErr w:type="spellStart"/>
      <w:r w:rsidRPr="0058292E">
        <w:rPr>
          <w:sz w:val="28"/>
          <w:szCs w:val="28"/>
        </w:rPr>
        <w:t>CiFin</w:t>
      </w:r>
      <w:proofErr w:type="spellEnd"/>
      <w:r w:rsidRPr="0058292E">
        <w:rPr>
          <w:sz w:val="28"/>
          <w:szCs w:val="28"/>
        </w:rPr>
        <w:t xml:space="preserve"> s</w:t>
      </w:r>
      <w:r w:rsidRPr="0058292E">
        <w:rPr>
          <w:color w:val="000000"/>
          <w:sz w:val="28"/>
          <w:szCs w:val="28"/>
        </w:rPr>
        <w:t xml:space="preserve">e Identifican 11 Asociados con Créditos coomei y en otras entidades, </w:t>
      </w:r>
      <w:r w:rsidR="0058292E" w:rsidRPr="0058292E">
        <w:rPr>
          <w:color w:val="000000"/>
          <w:sz w:val="28"/>
          <w:szCs w:val="28"/>
        </w:rPr>
        <w:t xml:space="preserve">su calificación </w:t>
      </w:r>
      <w:r w:rsidR="0058292E" w:rsidRPr="0058292E">
        <w:rPr>
          <w:sz w:val="28"/>
          <w:szCs w:val="28"/>
        </w:rPr>
        <w:t>externa</w:t>
      </w:r>
      <w:r w:rsidR="0058292E" w:rsidRPr="0058292E">
        <w:rPr>
          <w:color w:val="000000"/>
          <w:sz w:val="28"/>
          <w:szCs w:val="28"/>
        </w:rPr>
        <w:t xml:space="preserve"> </w:t>
      </w:r>
      <w:r w:rsidR="0058292E" w:rsidRPr="0058292E">
        <w:rPr>
          <w:sz w:val="28"/>
          <w:szCs w:val="28"/>
        </w:rPr>
        <w:t>está</w:t>
      </w:r>
      <w:r w:rsidRPr="0058292E">
        <w:rPr>
          <w:color w:val="000000"/>
          <w:sz w:val="28"/>
          <w:szCs w:val="28"/>
        </w:rPr>
        <w:t xml:space="preserve"> en D, con deficiente comportamiento de pago, mientras que en coomei </w:t>
      </w:r>
      <w:r w:rsidRPr="0058292E">
        <w:rPr>
          <w:sz w:val="28"/>
          <w:szCs w:val="28"/>
        </w:rPr>
        <w:t>los</w:t>
      </w:r>
      <w:r w:rsidRPr="0058292E">
        <w:rPr>
          <w:color w:val="000000"/>
          <w:sz w:val="28"/>
          <w:szCs w:val="28"/>
        </w:rPr>
        <w:t xml:space="preserve"> </w:t>
      </w:r>
      <w:r w:rsidRPr="0058292E">
        <w:rPr>
          <w:sz w:val="28"/>
          <w:szCs w:val="28"/>
        </w:rPr>
        <w:t>abonos a la</w:t>
      </w:r>
      <w:r w:rsidRPr="0058292E">
        <w:rPr>
          <w:color w:val="000000"/>
          <w:sz w:val="28"/>
          <w:szCs w:val="28"/>
        </w:rPr>
        <w:t xml:space="preserve"> Obligación se realizan por Deducción de </w:t>
      </w:r>
      <w:r w:rsidRPr="0058292E">
        <w:rPr>
          <w:sz w:val="28"/>
          <w:szCs w:val="28"/>
        </w:rPr>
        <w:t xml:space="preserve">Nómina. </w:t>
      </w:r>
      <w:r w:rsidRPr="0058292E">
        <w:rPr>
          <w:color w:val="000000"/>
          <w:sz w:val="28"/>
          <w:szCs w:val="28"/>
        </w:rPr>
        <w:t xml:space="preserve">No existe una política aprobada y documentada en coomei de recalificación, es decir, se hace la evaluación de </w:t>
      </w:r>
      <w:r w:rsidR="0058292E" w:rsidRPr="0058292E">
        <w:rPr>
          <w:color w:val="000000"/>
          <w:sz w:val="28"/>
          <w:szCs w:val="28"/>
        </w:rPr>
        <w:t>cartera,</w:t>
      </w:r>
      <w:r w:rsidRPr="0058292E">
        <w:rPr>
          <w:color w:val="000000"/>
          <w:sz w:val="28"/>
          <w:szCs w:val="28"/>
        </w:rPr>
        <w:t xml:space="preserve"> pero no conduce a la recalificación del asociado</w:t>
      </w:r>
      <w:r w:rsidR="00BA65ED" w:rsidRPr="0058292E">
        <w:rPr>
          <w:color w:val="000000"/>
          <w:sz w:val="28"/>
          <w:szCs w:val="28"/>
        </w:rPr>
        <w:t>.</w:t>
      </w:r>
      <w:r w:rsidRPr="0058292E">
        <w:rPr>
          <w:color w:val="000000"/>
          <w:sz w:val="28"/>
          <w:szCs w:val="28"/>
        </w:rPr>
        <w:t xml:space="preserve"> </w:t>
      </w:r>
      <w:r w:rsidR="00BA65ED" w:rsidRPr="0058292E">
        <w:rPr>
          <w:color w:val="000000"/>
          <w:sz w:val="28"/>
          <w:szCs w:val="28"/>
        </w:rPr>
        <w:t>H</w:t>
      </w:r>
      <w:r w:rsidRPr="0058292E">
        <w:rPr>
          <w:color w:val="000000"/>
          <w:sz w:val="28"/>
          <w:szCs w:val="28"/>
        </w:rPr>
        <w:t xml:space="preserve">oy </w:t>
      </w:r>
      <w:r w:rsidR="00BA65ED" w:rsidRPr="0058292E">
        <w:rPr>
          <w:color w:val="000000"/>
          <w:sz w:val="28"/>
          <w:szCs w:val="28"/>
        </w:rPr>
        <w:t>en</w:t>
      </w:r>
      <w:r w:rsidRPr="0058292E">
        <w:rPr>
          <w:color w:val="000000"/>
          <w:sz w:val="28"/>
          <w:szCs w:val="28"/>
        </w:rPr>
        <w:t xml:space="preserve"> día con </w:t>
      </w:r>
      <w:r w:rsidR="00BA65ED" w:rsidRPr="0058292E">
        <w:rPr>
          <w:color w:val="000000"/>
          <w:sz w:val="28"/>
          <w:szCs w:val="28"/>
        </w:rPr>
        <w:t xml:space="preserve">COOMEI </w:t>
      </w:r>
      <w:r w:rsidRPr="0058292E">
        <w:rPr>
          <w:color w:val="000000"/>
          <w:sz w:val="28"/>
          <w:szCs w:val="28"/>
        </w:rPr>
        <w:t>en</w:t>
      </w:r>
      <w:r w:rsidR="00BA65ED" w:rsidRPr="0058292E">
        <w:rPr>
          <w:color w:val="000000"/>
          <w:sz w:val="28"/>
          <w:szCs w:val="28"/>
        </w:rPr>
        <w:t xml:space="preserve"> </w:t>
      </w:r>
      <w:r w:rsidR="0058292E" w:rsidRPr="0058292E">
        <w:rPr>
          <w:color w:val="000000"/>
          <w:sz w:val="28"/>
          <w:szCs w:val="28"/>
        </w:rPr>
        <w:t>categoría A</w:t>
      </w:r>
      <w:r w:rsidRPr="0058292E">
        <w:rPr>
          <w:color w:val="000000"/>
          <w:sz w:val="28"/>
          <w:szCs w:val="28"/>
        </w:rPr>
        <w:t>, y con otras entidades</w:t>
      </w:r>
      <w:r w:rsidR="00BA65ED" w:rsidRPr="0058292E">
        <w:rPr>
          <w:color w:val="000000"/>
          <w:sz w:val="28"/>
          <w:szCs w:val="28"/>
        </w:rPr>
        <w:t>,</w:t>
      </w:r>
      <w:r w:rsidRPr="0058292E">
        <w:rPr>
          <w:color w:val="000000"/>
          <w:sz w:val="28"/>
          <w:szCs w:val="28"/>
        </w:rPr>
        <w:t xml:space="preserve"> presentan incumplimientos</w:t>
      </w:r>
      <w:r w:rsidR="00BA65ED" w:rsidRPr="0058292E">
        <w:rPr>
          <w:color w:val="000000"/>
          <w:sz w:val="28"/>
          <w:szCs w:val="28"/>
        </w:rPr>
        <w:t>,</w:t>
      </w:r>
      <w:r w:rsidRPr="0058292E">
        <w:rPr>
          <w:color w:val="000000"/>
          <w:sz w:val="28"/>
          <w:szCs w:val="28"/>
        </w:rPr>
        <w:t xml:space="preserve"> o su nivel de endeudamiento</w:t>
      </w:r>
      <w:r w:rsidR="00BA65ED" w:rsidRPr="0058292E">
        <w:rPr>
          <w:color w:val="000000"/>
          <w:sz w:val="28"/>
          <w:szCs w:val="28"/>
        </w:rPr>
        <w:t>,</w:t>
      </w:r>
      <w:r w:rsidRPr="0058292E">
        <w:rPr>
          <w:color w:val="000000"/>
          <w:sz w:val="28"/>
          <w:szCs w:val="28"/>
        </w:rPr>
        <w:t xml:space="preserve"> es tan alto</w:t>
      </w:r>
      <w:r w:rsidR="00BA65ED" w:rsidRPr="0058292E">
        <w:rPr>
          <w:color w:val="000000"/>
          <w:sz w:val="28"/>
          <w:szCs w:val="28"/>
        </w:rPr>
        <w:t>.</w:t>
      </w:r>
      <w:r w:rsidRPr="0058292E">
        <w:rPr>
          <w:color w:val="000000"/>
          <w:sz w:val="28"/>
          <w:szCs w:val="28"/>
        </w:rPr>
        <w:t xml:space="preserve"> </w:t>
      </w:r>
      <w:r w:rsidR="00BA65ED" w:rsidRPr="0058292E">
        <w:rPr>
          <w:color w:val="000000"/>
          <w:sz w:val="28"/>
          <w:szCs w:val="28"/>
        </w:rPr>
        <w:t>L</w:t>
      </w:r>
      <w:r w:rsidRPr="0058292E">
        <w:rPr>
          <w:color w:val="000000"/>
          <w:sz w:val="28"/>
          <w:szCs w:val="28"/>
        </w:rPr>
        <w:t xml:space="preserve">o más prudente </w:t>
      </w:r>
      <w:r w:rsidR="00092085" w:rsidRPr="0058292E">
        <w:rPr>
          <w:color w:val="000000"/>
          <w:sz w:val="28"/>
          <w:szCs w:val="28"/>
        </w:rPr>
        <w:t>Sería internamente</w:t>
      </w:r>
      <w:r w:rsidRPr="0058292E">
        <w:rPr>
          <w:color w:val="000000"/>
          <w:sz w:val="28"/>
          <w:szCs w:val="28"/>
        </w:rPr>
        <w:t xml:space="preserve"> bajarlo a B.</w:t>
      </w:r>
    </w:p>
    <w:p w14:paraId="076B234F" w14:textId="77777777" w:rsidR="002906ED" w:rsidRDefault="002906ED">
      <w:pPr>
        <w:pBdr>
          <w:top w:val="nil"/>
          <w:left w:val="nil"/>
          <w:bottom w:val="nil"/>
          <w:right w:val="nil"/>
          <w:between w:val="nil"/>
        </w:pBdr>
        <w:ind w:left="360"/>
        <w:jc w:val="both"/>
        <w:rPr>
          <w:color w:val="000000"/>
          <w:sz w:val="28"/>
          <w:szCs w:val="28"/>
        </w:rPr>
      </w:pPr>
    </w:p>
    <w:p w14:paraId="34364C44" w14:textId="77777777" w:rsidR="002906ED" w:rsidRDefault="002906ED">
      <w:pPr>
        <w:pBdr>
          <w:top w:val="nil"/>
          <w:left w:val="nil"/>
          <w:bottom w:val="nil"/>
          <w:right w:val="nil"/>
          <w:between w:val="nil"/>
        </w:pBdr>
        <w:ind w:left="720"/>
        <w:jc w:val="both"/>
        <w:rPr>
          <w:color w:val="000000"/>
          <w:sz w:val="28"/>
          <w:szCs w:val="28"/>
        </w:rPr>
      </w:pPr>
    </w:p>
    <w:p w14:paraId="221899E2" w14:textId="1CB7BFC3" w:rsidR="002906ED" w:rsidRDefault="005F2A1C" w:rsidP="0058292E">
      <w:pPr>
        <w:numPr>
          <w:ilvl w:val="0"/>
          <w:numId w:val="8"/>
        </w:numPr>
        <w:pBdr>
          <w:top w:val="nil"/>
          <w:left w:val="nil"/>
          <w:bottom w:val="nil"/>
          <w:right w:val="nil"/>
          <w:between w:val="nil"/>
        </w:pBdr>
        <w:jc w:val="both"/>
        <w:rPr>
          <w:color w:val="000000"/>
          <w:sz w:val="28"/>
          <w:szCs w:val="28"/>
        </w:rPr>
      </w:pPr>
      <w:r>
        <w:rPr>
          <w:sz w:val="28"/>
          <w:szCs w:val="28"/>
        </w:rPr>
        <w:t>P</w:t>
      </w:r>
      <w:r w:rsidR="000D7E79">
        <w:rPr>
          <w:sz w:val="28"/>
          <w:szCs w:val="28"/>
        </w:rPr>
        <w:t xml:space="preserve">ara mitigar la pandemia y dar cumplimiento a la norma, </w:t>
      </w:r>
      <w:r>
        <w:rPr>
          <w:color w:val="000000"/>
          <w:sz w:val="28"/>
          <w:szCs w:val="28"/>
        </w:rPr>
        <w:t xml:space="preserve">COOMEI </w:t>
      </w:r>
      <w:r w:rsidR="000D7E79">
        <w:rPr>
          <w:color w:val="000000"/>
          <w:sz w:val="28"/>
          <w:szCs w:val="28"/>
        </w:rPr>
        <w:t xml:space="preserve">en el acuerdo 037-2020 aprobado por el </w:t>
      </w:r>
      <w:r>
        <w:rPr>
          <w:color w:val="000000"/>
          <w:sz w:val="28"/>
          <w:szCs w:val="28"/>
        </w:rPr>
        <w:t xml:space="preserve">Consejo de Administración </w:t>
      </w:r>
      <w:r w:rsidR="000D7E79">
        <w:rPr>
          <w:color w:val="000000"/>
          <w:sz w:val="28"/>
          <w:szCs w:val="28"/>
        </w:rPr>
        <w:t xml:space="preserve">en agosto, se </w:t>
      </w:r>
      <w:r w:rsidR="000D7E79">
        <w:rPr>
          <w:sz w:val="28"/>
          <w:szCs w:val="28"/>
        </w:rPr>
        <w:t>gener</w:t>
      </w:r>
      <w:r>
        <w:rPr>
          <w:sz w:val="28"/>
          <w:szCs w:val="28"/>
        </w:rPr>
        <w:t>aron 5</w:t>
      </w:r>
      <w:r w:rsidR="000D7E79">
        <w:rPr>
          <w:color w:val="000000"/>
          <w:sz w:val="28"/>
          <w:szCs w:val="28"/>
        </w:rPr>
        <w:t xml:space="preserve"> </w:t>
      </w:r>
      <w:r w:rsidR="000D7E79">
        <w:rPr>
          <w:sz w:val="28"/>
          <w:szCs w:val="28"/>
        </w:rPr>
        <w:t>alivios</w:t>
      </w:r>
      <w:r w:rsidR="000D7E79">
        <w:rPr>
          <w:color w:val="000000"/>
          <w:sz w:val="28"/>
          <w:szCs w:val="28"/>
        </w:rPr>
        <w:t xml:space="preserve"> financieros a 5 créditos de asociados con pagos por taquilla, que han sido afectados por la pandemia, dando cumplimento a la</w:t>
      </w:r>
      <w:r w:rsidR="00EE18DC">
        <w:rPr>
          <w:color w:val="000000"/>
          <w:sz w:val="28"/>
          <w:szCs w:val="28"/>
        </w:rPr>
        <w:t>s</w:t>
      </w:r>
      <w:r w:rsidR="000D7E79">
        <w:rPr>
          <w:color w:val="000000"/>
          <w:sz w:val="28"/>
          <w:szCs w:val="28"/>
        </w:rPr>
        <w:t xml:space="preserve"> Circulares externa 17 del 17 julio de 2020 y </w:t>
      </w:r>
      <w:r w:rsidR="00EE18DC">
        <w:rPr>
          <w:color w:val="000000"/>
          <w:sz w:val="28"/>
          <w:szCs w:val="28"/>
        </w:rPr>
        <w:t xml:space="preserve">a la </w:t>
      </w:r>
      <w:r w:rsidR="000D7E79">
        <w:rPr>
          <w:color w:val="000000"/>
          <w:sz w:val="28"/>
          <w:szCs w:val="28"/>
        </w:rPr>
        <w:t>circular 18 del 10 agosto del 2020</w:t>
      </w:r>
      <w:r w:rsidR="000D7E79">
        <w:rPr>
          <w:sz w:val="28"/>
          <w:szCs w:val="28"/>
        </w:rPr>
        <w:t xml:space="preserve">, </w:t>
      </w:r>
      <w:r w:rsidR="000D7E79">
        <w:rPr>
          <w:color w:val="000000"/>
          <w:sz w:val="28"/>
          <w:szCs w:val="28"/>
        </w:rPr>
        <w:t xml:space="preserve">DE LA SUPERSOLIDARIA, quienes presentaban </w:t>
      </w:r>
      <w:r w:rsidR="000D7E79">
        <w:rPr>
          <w:sz w:val="28"/>
          <w:szCs w:val="28"/>
        </w:rPr>
        <w:t>dificultades</w:t>
      </w:r>
      <w:r w:rsidR="000D7E79">
        <w:rPr>
          <w:color w:val="000000"/>
          <w:sz w:val="28"/>
          <w:szCs w:val="28"/>
        </w:rPr>
        <w:t xml:space="preserve"> para su pago y se acogieron al beneficio de flexibilización, orientada a mitigar los efectos de la pandemia, se analizó su actividad económica, disminución de  ingresos y sector afectado, enviándoles EL OTRO SI para sus firmas con la mismas condiciones del crédito </w:t>
      </w:r>
      <w:r w:rsidR="000D7E79">
        <w:rPr>
          <w:sz w:val="28"/>
          <w:szCs w:val="28"/>
        </w:rPr>
        <w:t>ampliándose</w:t>
      </w:r>
      <w:r w:rsidR="000D7E79">
        <w:rPr>
          <w:color w:val="000000"/>
          <w:sz w:val="28"/>
          <w:szCs w:val="28"/>
        </w:rPr>
        <w:t xml:space="preserve"> el plazo de financiación y  periodo  de gracia </w:t>
      </w:r>
      <w:r w:rsidR="000D7E79">
        <w:rPr>
          <w:sz w:val="28"/>
          <w:szCs w:val="28"/>
        </w:rPr>
        <w:t>y p</w:t>
      </w:r>
      <w:r w:rsidR="00EE18DC">
        <w:rPr>
          <w:sz w:val="28"/>
          <w:szCs w:val="28"/>
        </w:rPr>
        <w:t>or</w:t>
      </w:r>
      <w:r w:rsidR="000D7E79">
        <w:rPr>
          <w:sz w:val="28"/>
          <w:szCs w:val="28"/>
        </w:rPr>
        <w:t xml:space="preserve"> la carta circular externa 19 enero 2021 </w:t>
      </w:r>
      <w:r w:rsidR="00EE18DC">
        <w:rPr>
          <w:sz w:val="28"/>
          <w:szCs w:val="28"/>
        </w:rPr>
        <w:t xml:space="preserve">COOMEI </w:t>
      </w:r>
      <w:r w:rsidR="000D7E79">
        <w:rPr>
          <w:sz w:val="28"/>
          <w:szCs w:val="28"/>
        </w:rPr>
        <w:t xml:space="preserve">continúa con los mismo acuerdos ya que los créditos en su mayoría son por deducciones de nómina por tanto no se ha visto afectado en la liquidez ni el estado de resultado.   </w:t>
      </w:r>
    </w:p>
    <w:p w14:paraId="24D42A07" w14:textId="77777777" w:rsidR="002906ED" w:rsidRDefault="002906ED">
      <w:pPr>
        <w:jc w:val="both"/>
        <w:rPr>
          <w:sz w:val="28"/>
          <w:szCs w:val="28"/>
        </w:rPr>
      </w:pPr>
    </w:p>
    <w:p w14:paraId="7A5D077C" w14:textId="77777777" w:rsidR="002906ED" w:rsidRDefault="002906ED">
      <w:pPr>
        <w:jc w:val="both"/>
        <w:rPr>
          <w:sz w:val="28"/>
          <w:szCs w:val="28"/>
        </w:rPr>
      </w:pPr>
    </w:p>
    <w:p w14:paraId="5DF5220C" w14:textId="77777777" w:rsidR="002906ED" w:rsidRDefault="002906ED">
      <w:pPr>
        <w:jc w:val="both"/>
        <w:rPr>
          <w:sz w:val="28"/>
          <w:szCs w:val="28"/>
        </w:rPr>
      </w:pPr>
    </w:p>
    <w:p w14:paraId="202805E5" w14:textId="77777777" w:rsidR="002906ED" w:rsidRDefault="002906ED">
      <w:pPr>
        <w:jc w:val="both"/>
        <w:rPr>
          <w:sz w:val="28"/>
          <w:szCs w:val="28"/>
        </w:rPr>
      </w:pPr>
    </w:p>
    <w:p w14:paraId="3A76EC5F" w14:textId="77777777" w:rsidR="002906ED" w:rsidRDefault="002906ED">
      <w:pPr>
        <w:pBdr>
          <w:top w:val="nil"/>
          <w:left w:val="nil"/>
          <w:bottom w:val="nil"/>
          <w:right w:val="nil"/>
          <w:between w:val="nil"/>
        </w:pBdr>
        <w:ind w:left="720"/>
        <w:jc w:val="both"/>
        <w:rPr>
          <w:color w:val="000000"/>
          <w:sz w:val="28"/>
          <w:szCs w:val="28"/>
        </w:rPr>
      </w:pPr>
    </w:p>
    <w:p w14:paraId="7F56CB9B" w14:textId="6CF24616" w:rsidR="002906ED" w:rsidRDefault="0058292E">
      <w:pPr>
        <w:pBdr>
          <w:top w:val="nil"/>
          <w:left w:val="nil"/>
          <w:bottom w:val="nil"/>
          <w:right w:val="nil"/>
          <w:between w:val="nil"/>
        </w:pBdr>
        <w:jc w:val="both"/>
        <w:rPr>
          <w:color w:val="000000"/>
          <w:sz w:val="28"/>
          <w:szCs w:val="28"/>
        </w:rPr>
      </w:pPr>
      <w:r w:rsidRPr="0058292E">
        <w:rPr>
          <w:bCs/>
          <w:sz w:val="28"/>
          <w:szCs w:val="28"/>
        </w:rPr>
        <w:lastRenderedPageBreak/>
        <w:t>e</w:t>
      </w:r>
      <w:r w:rsidR="000D7E79" w:rsidRPr="0058292E">
        <w:rPr>
          <w:bCs/>
          <w:sz w:val="28"/>
          <w:szCs w:val="28"/>
        </w:rPr>
        <w:t xml:space="preserve">) </w:t>
      </w:r>
      <w:r w:rsidR="000D7E79" w:rsidRPr="0058292E">
        <w:rPr>
          <w:bCs/>
          <w:color w:val="000000"/>
          <w:sz w:val="28"/>
          <w:szCs w:val="28"/>
        </w:rPr>
        <w:t xml:space="preserve">En cuanto a Aportes Sociales, uno de los medios más importantes </w:t>
      </w:r>
      <w:r w:rsidR="000D7E79" w:rsidRPr="0058292E">
        <w:rPr>
          <w:bCs/>
          <w:sz w:val="28"/>
          <w:szCs w:val="28"/>
        </w:rPr>
        <w:t>y</w:t>
      </w:r>
      <w:r w:rsidR="000D7E79" w:rsidRPr="0058292E">
        <w:rPr>
          <w:bCs/>
          <w:color w:val="000000"/>
          <w:sz w:val="28"/>
          <w:szCs w:val="28"/>
        </w:rPr>
        <w:t xml:space="preserve"> garantes de las </w:t>
      </w:r>
      <w:r w:rsidR="000D7E79">
        <w:rPr>
          <w:color w:val="000000"/>
          <w:sz w:val="28"/>
          <w:szCs w:val="28"/>
        </w:rPr>
        <w:t xml:space="preserve">operaciones financieras, en </w:t>
      </w:r>
      <w:r w:rsidR="000D7E79">
        <w:rPr>
          <w:sz w:val="28"/>
          <w:szCs w:val="28"/>
        </w:rPr>
        <w:t xml:space="preserve">este </w:t>
      </w:r>
      <w:r w:rsidR="000D7E79">
        <w:rPr>
          <w:color w:val="000000"/>
          <w:sz w:val="28"/>
          <w:szCs w:val="28"/>
        </w:rPr>
        <w:t>último año se produjo un crecimiento de $ 54millones, alcanzando un saldo total de $376millones, al finalizar el 2020. En cuanto al número de asociados, el crecimiento fue de 65 nuevos afiliados, dejando como balance un total de 594 asociados a diciembre de 2020.</w:t>
      </w:r>
    </w:p>
    <w:p w14:paraId="3FCDE402" w14:textId="77777777" w:rsidR="002906ED" w:rsidRDefault="002906ED">
      <w:pPr>
        <w:pBdr>
          <w:top w:val="nil"/>
          <w:left w:val="nil"/>
          <w:bottom w:val="nil"/>
          <w:right w:val="nil"/>
          <w:between w:val="nil"/>
        </w:pBdr>
        <w:jc w:val="both"/>
        <w:rPr>
          <w:color w:val="000000"/>
          <w:sz w:val="28"/>
          <w:szCs w:val="28"/>
        </w:rPr>
      </w:pPr>
    </w:p>
    <w:p w14:paraId="58B0ED61" w14:textId="77777777" w:rsidR="002906ED" w:rsidRDefault="000D7E79">
      <w:pPr>
        <w:pBdr>
          <w:top w:val="nil"/>
          <w:left w:val="nil"/>
          <w:bottom w:val="nil"/>
          <w:right w:val="nil"/>
          <w:between w:val="nil"/>
        </w:pBdr>
        <w:ind w:left="-57"/>
        <w:jc w:val="both"/>
        <w:rPr>
          <w:color w:val="000000"/>
          <w:sz w:val="28"/>
          <w:szCs w:val="28"/>
        </w:rPr>
      </w:pPr>
      <w:r>
        <w:rPr>
          <w:noProof/>
          <w:color w:val="000000"/>
          <w:sz w:val="28"/>
          <w:szCs w:val="28"/>
          <w:lang w:val="es-CO" w:eastAsia="es-CO"/>
        </w:rPr>
        <w:drawing>
          <wp:inline distT="0" distB="0" distL="0" distR="0" wp14:anchorId="3516D061" wp14:editId="4744ED15">
            <wp:extent cx="4556760" cy="1112520"/>
            <wp:effectExtent l="0" t="0" r="0" b="0"/>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556760" cy="1112520"/>
                    </a:xfrm>
                    <a:prstGeom prst="rect">
                      <a:avLst/>
                    </a:prstGeom>
                    <a:ln/>
                  </pic:spPr>
                </pic:pic>
              </a:graphicData>
            </a:graphic>
          </wp:inline>
        </w:drawing>
      </w:r>
    </w:p>
    <w:p w14:paraId="168F751D" w14:textId="77777777" w:rsidR="002906ED" w:rsidRDefault="002906ED">
      <w:pPr>
        <w:pBdr>
          <w:top w:val="nil"/>
          <w:left w:val="nil"/>
          <w:bottom w:val="nil"/>
          <w:right w:val="nil"/>
          <w:between w:val="nil"/>
        </w:pBdr>
        <w:jc w:val="both"/>
        <w:rPr>
          <w:b/>
          <w:color w:val="000000"/>
          <w:sz w:val="28"/>
          <w:szCs w:val="28"/>
        </w:rPr>
      </w:pPr>
    </w:p>
    <w:p w14:paraId="188C88F8" w14:textId="77777777" w:rsidR="002906ED" w:rsidRDefault="000D7E79">
      <w:pPr>
        <w:pBdr>
          <w:top w:val="nil"/>
          <w:left w:val="nil"/>
          <w:bottom w:val="nil"/>
          <w:right w:val="nil"/>
          <w:between w:val="nil"/>
        </w:pBdr>
        <w:jc w:val="both"/>
        <w:rPr>
          <w:color w:val="000000"/>
          <w:sz w:val="28"/>
          <w:szCs w:val="28"/>
        </w:rPr>
      </w:pPr>
      <w:r>
        <w:rPr>
          <w:b/>
          <w:color w:val="000000"/>
          <w:sz w:val="28"/>
          <w:szCs w:val="28"/>
        </w:rPr>
        <w:t xml:space="preserve">Gráfico 1. </w:t>
      </w:r>
      <w:r>
        <w:rPr>
          <w:color w:val="000000"/>
          <w:sz w:val="28"/>
          <w:szCs w:val="28"/>
        </w:rPr>
        <w:t>Crecimiento de Aportes Sociales y base social 2017 - 2019. Las cifras están expresadas en pesos.</w:t>
      </w:r>
    </w:p>
    <w:p w14:paraId="626F44BE" w14:textId="77777777" w:rsidR="002906ED" w:rsidRDefault="002906ED">
      <w:pPr>
        <w:pBdr>
          <w:top w:val="nil"/>
          <w:left w:val="nil"/>
          <w:bottom w:val="nil"/>
          <w:right w:val="nil"/>
          <w:between w:val="nil"/>
        </w:pBdr>
        <w:ind w:left="720"/>
        <w:jc w:val="both"/>
        <w:rPr>
          <w:color w:val="000000"/>
          <w:sz w:val="28"/>
          <w:szCs w:val="28"/>
        </w:rPr>
      </w:pPr>
    </w:p>
    <w:p w14:paraId="61AD2522" w14:textId="77777777" w:rsidR="002906ED" w:rsidRDefault="000D7E79">
      <w:pPr>
        <w:jc w:val="both"/>
        <w:rPr>
          <w:sz w:val="28"/>
          <w:szCs w:val="28"/>
        </w:rPr>
      </w:pPr>
      <w:r>
        <w:rPr>
          <w:noProof/>
          <w:sz w:val="28"/>
          <w:szCs w:val="28"/>
          <w:lang w:val="es-CO" w:eastAsia="es-CO"/>
        </w:rPr>
        <w:drawing>
          <wp:inline distT="0" distB="0" distL="0" distR="0" wp14:anchorId="3A482249" wp14:editId="7C581452">
            <wp:extent cx="4584700" cy="1874520"/>
            <wp:effectExtent l="0" t="0" r="0" b="0"/>
            <wp:docPr id="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584700" cy="1874520"/>
                    </a:xfrm>
                    <a:prstGeom prst="rect">
                      <a:avLst/>
                    </a:prstGeom>
                    <a:ln/>
                  </pic:spPr>
                </pic:pic>
              </a:graphicData>
            </a:graphic>
          </wp:inline>
        </w:drawing>
      </w:r>
    </w:p>
    <w:p w14:paraId="4A7669B6" w14:textId="77777777" w:rsidR="002906ED" w:rsidRDefault="002906ED">
      <w:pPr>
        <w:jc w:val="both"/>
        <w:rPr>
          <w:sz w:val="28"/>
          <w:szCs w:val="28"/>
        </w:rPr>
      </w:pPr>
    </w:p>
    <w:p w14:paraId="3BC23539" w14:textId="100CE963" w:rsidR="002906ED" w:rsidRDefault="000D7E79">
      <w:pPr>
        <w:pBdr>
          <w:top w:val="nil"/>
          <w:left w:val="nil"/>
          <w:bottom w:val="nil"/>
          <w:right w:val="nil"/>
          <w:between w:val="nil"/>
        </w:pBdr>
        <w:jc w:val="both"/>
        <w:rPr>
          <w:color w:val="000000"/>
          <w:sz w:val="28"/>
          <w:szCs w:val="28"/>
        </w:rPr>
      </w:pPr>
      <w:r>
        <w:rPr>
          <w:sz w:val="28"/>
          <w:szCs w:val="28"/>
        </w:rPr>
        <w:lastRenderedPageBreak/>
        <w:t xml:space="preserve"> </w:t>
      </w:r>
      <w:r w:rsidR="0058292E">
        <w:rPr>
          <w:sz w:val="28"/>
          <w:szCs w:val="28"/>
        </w:rPr>
        <w:t>f</w:t>
      </w:r>
      <w:r>
        <w:rPr>
          <w:sz w:val="28"/>
          <w:szCs w:val="28"/>
        </w:rPr>
        <w:t xml:space="preserve">) </w:t>
      </w:r>
      <w:r>
        <w:rPr>
          <w:b/>
          <w:color w:val="000000"/>
          <w:sz w:val="28"/>
          <w:szCs w:val="28"/>
        </w:rPr>
        <w:t xml:space="preserve">En cuanto a la </w:t>
      </w:r>
      <w:r w:rsidR="0058292E">
        <w:rPr>
          <w:b/>
          <w:color w:val="000000"/>
          <w:sz w:val="28"/>
          <w:szCs w:val="28"/>
        </w:rPr>
        <w:t>cartera</w:t>
      </w:r>
      <w:r w:rsidR="0058292E">
        <w:rPr>
          <w:color w:val="000000"/>
          <w:sz w:val="28"/>
          <w:szCs w:val="28"/>
        </w:rPr>
        <w:t>, su</w:t>
      </w:r>
      <w:r>
        <w:rPr>
          <w:color w:val="000000"/>
          <w:sz w:val="28"/>
          <w:szCs w:val="28"/>
        </w:rPr>
        <w:t xml:space="preserve"> ejecución al finalizar el año alcanzó un crecimiento total de $</w:t>
      </w:r>
      <w:r>
        <w:rPr>
          <w:sz w:val="28"/>
          <w:szCs w:val="28"/>
        </w:rPr>
        <w:t>263</w:t>
      </w:r>
      <w:r>
        <w:rPr>
          <w:color w:val="000000"/>
          <w:sz w:val="28"/>
          <w:szCs w:val="28"/>
        </w:rPr>
        <w:t xml:space="preserve">millones, que corresponden </w:t>
      </w:r>
      <w:r>
        <w:rPr>
          <w:sz w:val="28"/>
          <w:szCs w:val="28"/>
        </w:rPr>
        <w:t>el 68,3%</w:t>
      </w:r>
      <w:r>
        <w:rPr>
          <w:color w:val="000000"/>
          <w:sz w:val="28"/>
          <w:szCs w:val="28"/>
        </w:rPr>
        <w:t xml:space="preserve"> con respecto al saldo total a diciembre del año anterior. E</w:t>
      </w:r>
      <w:r>
        <w:rPr>
          <w:sz w:val="28"/>
          <w:szCs w:val="28"/>
        </w:rPr>
        <w:t>l</w:t>
      </w:r>
      <w:r>
        <w:rPr>
          <w:color w:val="000000"/>
          <w:sz w:val="28"/>
          <w:szCs w:val="28"/>
        </w:rPr>
        <w:t xml:space="preserve"> número de créditos 113, el total desembolsado fue de </w:t>
      </w:r>
      <w:r>
        <w:rPr>
          <w:sz w:val="28"/>
          <w:szCs w:val="28"/>
        </w:rPr>
        <w:t>649millones para crédito de consumo</w:t>
      </w:r>
      <w:r>
        <w:rPr>
          <w:color w:val="000000"/>
          <w:sz w:val="28"/>
          <w:szCs w:val="28"/>
        </w:rPr>
        <w:t xml:space="preserve"> de los cuales </w:t>
      </w:r>
      <w:r>
        <w:rPr>
          <w:sz w:val="28"/>
          <w:szCs w:val="28"/>
        </w:rPr>
        <w:t xml:space="preserve">95 libre inversión </w:t>
      </w:r>
      <w:proofErr w:type="gramStart"/>
      <w:r>
        <w:rPr>
          <w:sz w:val="28"/>
          <w:szCs w:val="28"/>
        </w:rPr>
        <w:t xml:space="preserve">y </w:t>
      </w:r>
      <w:r>
        <w:rPr>
          <w:color w:val="000000"/>
          <w:sz w:val="28"/>
          <w:szCs w:val="28"/>
        </w:rPr>
        <w:t xml:space="preserve"> </w:t>
      </w:r>
      <w:r>
        <w:rPr>
          <w:sz w:val="28"/>
          <w:szCs w:val="28"/>
        </w:rPr>
        <w:t>41</w:t>
      </w:r>
      <w:proofErr w:type="gramEnd"/>
      <w:r>
        <w:rPr>
          <w:sz w:val="28"/>
          <w:szCs w:val="28"/>
        </w:rPr>
        <w:t xml:space="preserve"> por antigüedad.</w:t>
      </w:r>
      <w:r>
        <w:rPr>
          <w:color w:val="000000"/>
          <w:sz w:val="28"/>
          <w:szCs w:val="28"/>
        </w:rPr>
        <w:t xml:space="preserve"> </w:t>
      </w:r>
    </w:p>
    <w:p w14:paraId="248097D6" w14:textId="77777777" w:rsidR="002906ED" w:rsidRDefault="002906ED">
      <w:pPr>
        <w:pBdr>
          <w:top w:val="nil"/>
          <w:left w:val="nil"/>
          <w:bottom w:val="nil"/>
          <w:right w:val="nil"/>
          <w:between w:val="nil"/>
        </w:pBdr>
        <w:jc w:val="both"/>
        <w:rPr>
          <w:sz w:val="28"/>
          <w:szCs w:val="28"/>
        </w:rPr>
      </w:pPr>
    </w:p>
    <w:p w14:paraId="744DB532" w14:textId="77777777" w:rsidR="002906ED" w:rsidRDefault="000D7E79">
      <w:pPr>
        <w:pBdr>
          <w:top w:val="nil"/>
          <w:left w:val="nil"/>
          <w:bottom w:val="nil"/>
          <w:right w:val="nil"/>
          <w:between w:val="nil"/>
        </w:pBdr>
        <w:jc w:val="both"/>
        <w:rPr>
          <w:sz w:val="28"/>
          <w:szCs w:val="28"/>
        </w:rPr>
      </w:pPr>
      <w:r>
        <w:rPr>
          <w:noProof/>
          <w:sz w:val="28"/>
          <w:szCs w:val="28"/>
          <w:lang w:val="es-CO" w:eastAsia="es-CO"/>
        </w:rPr>
        <w:drawing>
          <wp:inline distT="114300" distB="114300" distL="114300" distR="114300" wp14:anchorId="5A108AC5" wp14:editId="47A88082">
            <wp:extent cx="4572000" cy="2647950"/>
            <wp:effectExtent l="0" t="0" r="0" b="0"/>
            <wp:docPr id="3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4572000" cy="2647950"/>
                    </a:xfrm>
                    <a:prstGeom prst="rect">
                      <a:avLst/>
                    </a:prstGeom>
                    <a:ln/>
                  </pic:spPr>
                </pic:pic>
              </a:graphicData>
            </a:graphic>
          </wp:inline>
        </w:drawing>
      </w:r>
    </w:p>
    <w:p w14:paraId="642D31CD" w14:textId="77777777" w:rsidR="002906ED" w:rsidRDefault="002906ED">
      <w:pPr>
        <w:pBdr>
          <w:top w:val="nil"/>
          <w:left w:val="nil"/>
          <w:bottom w:val="nil"/>
          <w:right w:val="nil"/>
          <w:between w:val="nil"/>
        </w:pBdr>
        <w:jc w:val="both"/>
        <w:rPr>
          <w:sz w:val="28"/>
          <w:szCs w:val="28"/>
        </w:rPr>
      </w:pPr>
    </w:p>
    <w:p w14:paraId="34DC8261" w14:textId="77777777" w:rsidR="002906ED" w:rsidRDefault="002906ED">
      <w:pPr>
        <w:pBdr>
          <w:top w:val="nil"/>
          <w:left w:val="nil"/>
          <w:bottom w:val="nil"/>
          <w:right w:val="nil"/>
          <w:between w:val="nil"/>
        </w:pBdr>
        <w:jc w:val="both"/>
        <w:rPr>
          <w:sz w:val="28"/>
          <w:szCs w:val="28"/>
        </w:rPr>
      </w:pPr>
    </w:p>
    <w:p w14:paraId="0A829537" w14:textId="77777777" w:rsidR="002906ED" w:rsidRDefault="002906ED">
      <w:pPr>
        <w:pBdr>
          <w:top w:val="nil"/>
          <w:left w:val="nil"/>
          <w:bottom w:val="nil"/>
          <w:right w:val="nil"/>
          <w:between w:val="nil"/>
        </w:pBdr>
        <w:jc w:val="both"/>
        <w:rPr>
          <w:sz w:val="28"/>
          <w:szCs w:val="28"/>
        </w:rPr>
      </w:pPr>
    </w:p>
    <w:p w14:paraId="4EA30784" w14:textId="77777777" w:rsidR="002906ED" w:rsidRDefault="002906ED">
      <w:pPr>
        <w:pBdr>
          <w:top w:val="nil"/>
          <w:left w:val="nil"/>
          <w:bottom w:val="nil"/>
          <w:right w:val="nil"/>
          <w:between w:val="nil"/>
        </w:pBdr>
        <w:jc w:val="both"/>
        <w:rPr>
          <w:sz w:val="28"/>
          <w:szCs w:val="28"/>
        </w:rPr>
      </w:pPr>
    </w:p>
    <w:p w14:paraId="5F64370E" w14:textId="77777777" w:rsidR="002906ED" w:rsidRDefault="002906ED">
      <w:pPr>
        <w:pBdr>
          <w:top w:val="nil"/>
          <w:left w:val="nil"/>
          <w:bottom w:val="nil"/>
          <w:right w:val="nil"/>
          <w:between w:val="nil"/>
        </w:pBdr>
        <w:jc w:val="both"/>
        <w:rPr>
          <w:sz w:val="28"/>
          <w:szCs w:val="28"/>
        </w:rPr>
      </w:pPr>
    </w:p>
    <w:p w14:paraId="22A107B4" w14:textId="77777777" w:rsidR="002906ED" w:rsidRDefault="002906ED">
      <w:pPr>
        <w:pBdr>
          <w:top w:val="nil"/>
          <w:left w:val="nil"/>
          <w:bottom w:val="nil"/>
          <w:right w:val="nil"/>
          <w:between w:val="nil"/>
        </w:pBdr>
        <w:jc w:val="both"/>
        <w:rPr>
          <w:sz w:val="28"/>
          <w:szCs w:val="28"/>
        </w:rPr>
      </w:pPr>
    </w:p>
    <w:p w14:paraId="16B14249" w14:textId="77777777" w:rsidR="002906ED" w:rsidRDefault="002906ED">
      <w:pPr>
        <w:pBdr>
          <w:top w:val="nil"/>
          <w:left w:val="nil"/>
          <w:bottom w:val="nil"/>
          <w:right w:val="nil"/>
          <w:between w:val="nil"/>
        </w:pBdr>
        <w:jc w:val="both"/>
        <w:rPr>
          <w:sz w:val="28"/>
          <w:szCs w:val="28"/>
        </w:rPr>
      </w:pPr>
    </w:p>
    <w:p w14:paraId="29489F58" w14:textId="77777777" w:rsidR="002906ED" w:rsidRDefault="002906ED">
      <w:pPr>
        <w:pBdr>
          <w:top w:val="nil"/>
          <w:left w:val="nil"/>
          <w:bottom w:val="nil"/>
          <w:right w:val="nil"/>
          <w:between w:val="nil"/>
        </w:pBdr>
        <w:jc w:val="both"/>
        <w:rPr>
          <w:sz w:val="28"/>
          <w:szCs w:val="28"/>
        </w:rPr>
      </w:pPr>
    </w:p>
    <w:p w14:paraId="6215CEFB" w14:textId="77777777" w:rsidR="002906ED" w:rsidRDefault="000D7E79">
      <w:pPr>
        <w:pBdr>
          <w:top w:val="nil"/>
          <w:left w:val="nil"/>
          <w:bottom w:val="nil"/>
          <w:right w:val="nil"/>
          <w:between w:val="nil"/>
        </w:pBdr>
        <w:jc w:val="both"/>
        <w:rPr>
          <w:color w:val="000000"/>
          <w:sz w:val="28"/>
          <w:szCs w:val="28"/>
        </w:rPr>
      </w:pPr>
      <w:r>
        <w:rPr>
          <w:b/>
          <w:color w:val="000000"/>
          <w:sz w:val="28"/>
          <w:szCs w:val="28"/>
        </w:rPr>
        <w:lastRenderedPageBreak/>
        <w:t xml:space="preserve">Gráfico 2. </w:t>
      </w:r>
      <w:r>
        <w:rPr>
          <w:color w:val="000000"/>
          <w:sz w:val="28"/>
          <w:szCs w:val="28"/>
        </w:rPr>
        <w:t>Crecimiento de la cartera 2017-2020. Las cifras</w:t>
      </w:r>
      <w:r>
        <w:rPr>
          <w:sz w:val="28"/>
          <w:szCs w:val="28"/>
        </w:rPr>
        <w:t xml:space="preserve"> </w:t>
      </w:r>
      <w:r>
        <w:rPr>
          <w:color w:val="000000"/>
          <w:sz w:val="28"/>
          <w:szCs w:val="28"/>
        </w:rPr>
        <w:t>están expresadas en pesos</w:t>
      </w:r>
    </w:p>
    <w:p w14:paraId="79B24F1E" w14:textId="77777777" w:rsidR="002906ED" w:rsidRDefault="000D7E79">
      <w:pPr>
        <w:pBdr>
          <w:top w:val="nil"/>
          <w:left w:val="nil"/>
          <w:bottom w:val="nil"/>
          <w:right w:val="nil"/>
          <w:between w:val="nil"/>
        </w:pBdr>
        <w:jc w:val="both"/>
        <w:rPr>
          <w:sz w:val="28"/>
          <w:szCs w:val="28"/>
        </w:rPr>
      </w:pPr>
      <w:r>
        <w:rPr>
          <w:noProof/>
          <w:sz w:val="28"/>
          <w:szCs w:val="28"/>
          <w:lang w:val="es-CO" w:eastAsia="es-CO"/>
        </w:rPr>
        <w:drawing>
          <wp:inline distT="114300" distB="114300" distL="114300" distR="114300" wp14:anchorId="2656C602" wp14:editId="69F6F8D7">
            <wp:extent cx="4638675" cy="1285875"/>
            <wp:effectExtent l="0" t="0" r="0" b="0"/>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4638675" cy="1285875"/>
                    </a:xfrm>
                    <a:prstGeom prst="rect">
                      <a:avLst/>
                    </a:prstGeom>
                    <a:ln/>
                  </pic:spPr>
                </pic:pic>
              </a:graphicData>
            </a:graphic>
          </wp:inline>
        </w:drawing>
      </w:r>
    </w:p>
    <w:p w14:paraId="48922D3B" w14:textId="77777777" w:rsidR="002906ED" w:rsidRDefault="002906ED">
      <w:pPr>
        <w:pBdr>
          <w:top w:val="nil"/>
          <w:left w:val="nil"/>
          <w:bottom w:val="nil"/>
          <w:right w:val="nil"/>
          <w:between w:val="nil"/>
        </w:pBdr>
        <w:jc w:val="both"/>
        <w:rPr>
          <w:sz w:val="28"/>
          <w:szCs w:val="28"/>
        </w:rPr>
      </w:pPr>
    </w:p>
    <w:p w14:paraId="2ADE09AD" w14:textId="77777777" w:rsidR="002906ED" w:rsidRDefault="000D7E79">
      <w:pPr>
        <w:jc w:val="both"/>
        <w:rPr>
          <w:sz w:val="28"/>
          <w:szCs w:val="28"/>
        </w:rPr>
      </w:pPr>
      <w:r>
        <w:rPr>
          <w:noProof/>
          <w:sz w:val="28"/>
          <w:szCs w:val="28"/>
          <w:lang w:val="es-CO" w:eastAsia="es-CO"/>
        </w:rPr>
        <w:drawing>
          <wp:inline distT="0" distB="0" distL="0" distR="0" wp14:anchorId="42B54033" wp14:editId="3E6CB42D">
            <wp:extent cx="6477000" cy="1756826"/>
            <wp:effectExtent l="0" t="0" r="0" b="0"/>
            <wp:docPr id="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477000" cy="1756826"/>
                    </a:xfrm>
                    <a:prstGeom prst="rect">
                      <a:avLst/>
                    </a:prstGeom>
                    <a:ln/>
                  </pic:spPr>
                </pic:pic>
              </a:graphicData>
            </a:graphic>
          </wp:inline>
        </w:drawing>
      </w:r>
    </w:p>
    <w:p w14:paraId="2325F223" w14:textId="77777777" w:rsidR="002906ED" w:rsidRDefault="002906ED">
      <w:pPr>
        <w:jc w:val="both"/>
        <w:rPr>
          <w:sz w:val="28"/>
          <w:szCs w:val="28"/>
        </w:rPr>
      </w:pPr>
    </w:p>
    <w:p w14:paraId="01C6FCB7" w14:textId="77777777" w:rsidR="002906ED" w:rsidRDefault="000D7E79">
      <w:pPr>
        <w:pBdr>
          <w:top w:val="nil"/>
          <w:left w:val="nil"/>
          <w:bottom w:val="nil"/>
          <w:right w:val="nil"/>
          <w:between w:val="nil"/>
        </w:pBdr>
        <w:jc w:val="both"/>
        <w:rPr>
          <w:color w:val="000000"/>
          <w:sz w:val="28"/>
          <w:szCs w:val="28"/>
        </w:rPr>
      </w:pPr>
      <w:r>
        <w:rPr>
          <w:b/>
          <w:color w:val="000000"/>
          <w:sz w:val="28"/>
          <w:szCs w:val="28"/>
        </w:rPr>
        <w:t xml:space="preserve">Gráfico 4. </w:t>
      </w:r>
      <w:r>
        <w:rPr>
          <w:color w:val="000000"/>
          <w:sz w:val="28"/>
          <w:szCs w:val="28"/>
        </w:rPr>
        <w:t>Histórico anual de cartera vigente y vencida. Las cifras están expresadas en pesos.</w:t>
      </w:r>
    </w:p>
    <w:p w14:paraId="49D99D58" w14:textId="77777777" w:rsidR="002906ED" w:rsidRDefault="002906ED">
      <w:pPr>
        <w:pBdr>
          <w:top w:val="nil"/>
          <w:left w:val="nil"/>
          <w:bottom w:val="nil"/>
          <w:right w:val="nil"/>
          <w:between w:val="nil"/>
        </w:pBdr>
        <w:jc w:val="both"/>
        <w:rPr>
          <w:color w:val="000000"/>
          <w:sz w:val="28"/>
          <w:szCs w:val="28"/>
        </w:rPr>
      </w:pPr>
    </w:p>
    <w:p w14:paraId="3C7620E6" w14:textId="77777777" w:rsidR="002906ED" w:rsidRDefault="000D7E79">
      <w:pPr>
        <w:jc w:val="both"/>
        <w:rPr>
          <w:sz w:val="28"/>
          <w:szCs w:val="28"/>
        </w:rPr>
      </w:pPr>
      <w:r>
        <w:rPr>
          <w:noProof/>
          <w:sz w:val="28"/>
          <w:szCs w:val="28"/>
          <w:lang w:val="es-CO" w:eastAsia="es-CO"/>
        </w:rPr>
        <w:lastRenderedPageBreak/>
        <w:drawing>
          <wp:inline distT="0" distB="0" distL="0" distR="0" wp14:anchorId="6B48FF68" wp14:editId="6A7B298C">
            <wp:extent cx="6294120" cy="2118360"/>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294120" cy="2118360"/>
                    </a:xfrm>
                    <a:prstGeom prst="rect">
                      <a:avLst/>
                    </a:prstGeom>
                    <a:ln/>
                  </pic:spPr>
                </pic:pic>
              </a:graphicData>
            </a:graphic>
          </wp:inline>
        </w:drawing>
      </w:r>
    </w:p>
    <w:p w14:paraId="1AD8DF90" w14:textId="77777777" w:rsidR="002906ED" w:rsidRDefault="002906ED">
      <w:pPr>
        <w:jc w:val="both"/>
        <w:rPr>
          <w:sz w:val="28"/>
          <w:szCs w:val="28"/>
        </w:rPr>
      </w:pPr>
    </w:p>
    <w:p w14:paraId="0D056025" w14:textId="77777777" w:rsidR="002906ED" w:rsidRDefault="000D7E79">
      <w:pPr>
        <w:jc w:val="both"/>
        <w:rPr>
          <w:sz w:val="28"/>
          <w:szCs w:val="28"/>
        </w:rPr>
      </w:pPr>
      <w:r>
        <w:rPr>
          <w:noProof/>
          <w:sz w:val="28"/>
          <w:szCs w:val="28"/>
          <w:lang w:val="es-CO" w:eastAsia="es-CO"/>
        </w:rPr>
        <w:drawing>
          <wp:inline distT="0" distB="0" distL="0" distR="0" wp14:anchorId="11F5C7F0" wp14:editId="1D040121">
            <wp:extent cx="6697049" cy="1505159"/>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697049" cy="1505159"/>
                    </a:xfrm>
                    <a:prstGeom prst="rect">
                      <a:avLst/>
                    </a:prstGeom>
                    <a:ln/>
                  </pic:spPr>
                </pic:pic>
              </a:graphicData>
            </a:graphic>
          </wp:inline>
        </w:drawing>
      </w:r>
    </w:p>
    <w:p w14:paraId="22463433" w14:textId="77777777" w:rsidR="002906ED" w:rsidRDefault="002906ED">
      <w:pPr>
        <w:jc w:val="both"/>
        <w:rPr>
          <w:sz w:val="28"/>
          <w:szCs w:val="28"/>
        </w:rPr>
      </w:pPr>
    </w:p>
    <w:p w14:paraId="7A4D4A50" w14:textId="77777777" w:rsidR="002906ED" w:rsidRDefault="000D7E79">
      <w:pPr>
        <w:jc w:val="both"/>
        <w:rPr>
          <w:sz w:val="28"/>
          <w:szCs w:val="28"/>
        </w:rPr>
      </w:pPr>
      <w:r>
        <w:rPr>
          <w:noProof/>
          <w:sz w:val="28"/>
          <w:szCs w:val="28"/>
          <w:lang w:val="es-CO" w:eastAsia="es-CO"/>
        </w:rPr>
        <w:lastRenderedPageBreak/>
        <w:drawing>
          <wp:inline distT="0" distB="0" distL="0" distR="0" wp14:anchorId="3DAC18A5" wp14:editId="0E3A3AA0">
            <wp:extent cx="6316980" cy="2304415"/>
            <wp:effectExtent l="0" t="0" r="0" b="0"/>
            <wp:docPr id="4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6316980" cy="2304415"/>
                    </a:xfrm>
                    <a:prstGeom prst="rect">
                      <a:avLst/>
                    </a:prstGeom>
                    <a:ln/>
                  </pic:spPr>
                </pic:pic>
              </a:graphicData>
            </a:graphic>
          </wp:inline>
        </w:drawing>
      </w:r>
    </w:p>
    <w:p w14:paraId="0228CB57" w14:textId="77777777" w:rsidR="002906ED" w:rsidRDefault="002906ED">
      <w:pPr>
        <w:jc w:val="both"/>
        <w:rPr>
          <w:sz w:val="28"/>
          <w:szCs w:val="28"/>
        </w:rPr>
      </w:pPr>
    </w:p>
    <w:p w14:paraId="720D67D9" w14:textId="6F75CB5F" w:rsidR="002906ED" w:rsidRDefault="000D7E79">
      <w:pPr>
        <w:spacing w:after="4" w:line="249" w:lineRule="auto"/>
        <w:jc w:val="both"/>
        <w:rPr>
          <w:sz w:val="28"/>
          <w:szCs w:val="28"/>
        </w:rPr>
      </w:pPr>
      <w:r>
        <w:rPr>
          <w:sz w:val="28"/>
          <w:szCs w:val="28"/>
        </w:rPr>
        <w:t xml:space="preserve">La Cartera de la Cooperativa es sana, el porcentaje de cartera morosa, es baja obedece a que los pagos de los créditos el mayor porcentaje corresponde a deducciones por nomina, son unos pocos por </w:t>
      </w:r>
      <w:r w:rsidR="0058292E">
        <w:rPr>
          <w:sz w:val="28"/>
          <w:szCs w:val="28"/>
        </w:rPr>
        <w:t>taquilla,</w:t>
      </w:r>
      <w:r>
        <w:rPr>
          <w:sz w:val="28"/>
          <w:szCs w:val="28"/>
        </w:rPr>
        <w:t xml:space="preserve"> no obstante, se deben mantener todos los cuidados necesarios para que esta no se deteriore.  </w:t>
      </w:r>
    </w:p>
    <w:p w14:paraId="0755E63A" w14:textId="77777777" w:rsidR="002906ED" w:rsidRDefault="002906ED">
      <w:pPr>
        <w:spacing w:after="4" w:line="249" w:lineRule="auto"/>
        <w:jc w:val="both"/>
        <w:rPr>
          <w:sz w:val="28"/>
          <w:szCs w:val="28"/>
        </w:rPr>
      </w:pPr>
    </w:p>
    <w:p w14:paraId="056DE2F7" w14:textId="77777777" w:rsidR="002906ED" w:rsidRDefault="000D7E79">
      <w:pPr>
        <w:pBdr>
          <w:top w:val="nil"/>
          <w:left w:val="nil"/>
          <w:bottom w:val="nil"/>
          <w:right w:val="nil"/>
          <w:between w:val="nil"/>
        </w:pBdr>
        <w:jc w:val="both"/>
        <w:rPr>
          <w:color w:val="000000"/>
          <w:sz w:val="28"/>
          <w:szCs w:val="28"/>
        </w:rPr>
      </w:pPr>
      <w:r>
        <w:rPr>
          <w:b/>
          <w:color w:val="000000"/>
          <w:sz w:val="28"/>
          <w:szCs w:val="28"/>
        </w:rPr>
        <w:t xml:space="preserve">Gráfico 5 </w:t>
      </w:r>
      <w:r>
        <w:rPr>
          <w:color w:val="000000"/>
          <w:sz w:val="28"/>
          <w:szCs w:val="28"/>
        </w:rPr>
        <w:t>Comparativo de la cartera por forma de pago. Las cifras están expresadas en pesos.</w:t>
      </w:r>
    </w:p>
    <w:p w14:paraId="63A8D16E" w14:textId="77777777" w:rsidR="002906ED" w:rsidRDefault="002906ED">
      <w:pPr>
        <w:jc w:val="both"/>
        <w:rPr>
          <w:sz w:val="28"/>
          <w:szCs w:val="28"/>
        </w:rPr>
      </w:pPr>
    </w:p>
    <w:p w14:paraId="5E774F89" w14:textId="77777777" w:rsidR="002906ED" w:rsidRDefault="000D7E79">
      <w:pPr>
        <w:jc w:val="both"/>
        <w:rPr>
          <w:sz w:val="28"/>
          <w:szCs w:val="28"/>
        </w:rPr>
      </w:pPr>
      <w:r>
        <w:rPr>
          <w:noProof/>
          <w:sz w:val="28"/>
          <w:szCs w:val="28"/>
          <w:lang w:val="es-CO" w:eastAsia="es-CO"/>
        </w:rPr>
        <w:drawing>
          <wp:inline distT="0" distB="0" distL="0" distR="0" wp14:anchorId="6AE7C6F1" wp14:editId="58C7FBF1">
            <wp:extent cx="7119184" cy="1329898"/>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7119184" cy="1329898"/>
                    </a:xfrm>
                    <a:prstGeom prst="rect">
                      <a:avLst/>
                    </a:prstGeom>
                    <a:ln/>
                  </pic:spPr>
                </pic:pic>
              </a:graphicData>
            </a:graphic>
          </wp:inline>
        </w:drawing>
      </w:r>
    </w:p>
    <w:p w14:paraId="22332E29" w14:textId="77777777" w:rsidR="002906ED" w:rsidRDefault="002906ED">
      <w:pPr>
        <w:jc w:val="both"/>
        <w:rPr>
          <w:sz w:val="28"/>
          <w:szCs w:val="28"/>
        </w:rPr>
      </w:pPr>
    </w:p>
    <w:p w14:paraId="207EAA3F" w14:textId="77777777" w:rsidR="002906ED" w:rsidRDefault="000D7E79">
      <w:pPr>
        <w:jc w:val="both"/>
        <w:rPr>
          <w:sz w:val="28"/>
          <w:szCs w:val="28"/>
        </w:rPr>
      </w:pPr>
      <w:r>
        <w:rPr>
          <w:b/>
          <w:sz w:val="28"/>
          <w:szCs w:val="28"/>
        </w:rPr>
        <w:t>Gráfica 6</w:t>
      </w:r>
      <w:r>
        <w:rPr>
          <w:sz w:val="28"/>
          <w:szCs w:val="28"/>
        </w:rPr>
        <w:t xml:space="preserve"> se corre 180 asociados para la Evaluación de La Cartera Año 2020 al 30 noviembre de 2020 para el cierre de diciembre y donde </w:t>
      </w:r>
      <w:proofErr w:type="spellStart"/>
      <w:r>
        <w:rPr>
          <w:sz w:val="28"/>
          <w:szCs w:val="28"/>
        </w:rPr>
        <w:t>Transunion-Cifin</w:t>
      </w:r>
      <w:proofErr w:type="spellEnd"/>
      <w:r>
        <w:rPr>
          <w:sz w:val="28"/>
          <w:szCs w:val="28"/>
        </w:rPr>
        <w:t xml:space="preserve"> solo tiene el análisis individual a 122 asociado</w:t>
      </w:r>
      <w:r w:rsidR="00092085">
        <w:rPr>
          <w:sz w:val="28"/>
          <w:szCs w:val="28"/>
        </w:rPr>
        <w:t>s</w:t>
      </w:r>
      <w:r>
        <w:rPr>
          <w:sz w:val="28"/>
          <w:szCs w:val="28"/>
        </w:rPr>
        <w:t xml:space="preserve"> y a 58 </w:t>
      </w:r>
      <w:r w:rsidR="00092085">
        <w:rPr>
          <w:sz w:val="28"/>
          <w:szCs w:val="28"/>
        </w:rPr>
        <w:t>asociados con</w:t>
      </w:r>
      <w:r>
        <w:rPr>
          <w:sz w:val="28"/>
          <w:szCs w:val="28"/>
        </w:rPr>
        <w:t xml:space="preserve"> Créditos vigentes no tienen información de transacciones con otras entidades.  </w:t>
      </w:r>
      <w:r w:rsidR="00092085">
        <w:rPr>
          <w:sz w:val="28"/>
          <w:szCs w:val="28"/>
        </w:rPr>
        <w:t>En</w:t>
      </w:r>
      <w:r>
        <w:rPr>
          <w:sz w:val="28"/>
          <w:szCs w:val="28"/>
        </w:rPr>
        <w:t xml:space="preserve"> el analizan los criterios de Capacidad de pago, Estado de la Obligación,</w:t>
      </w:r>
      <w:r w:rsidR="00092085">
        <w:rPr>
          <w:sz w:val="28"/>
          <w:szCs w:val="28"/>
        </w:rPr>
        <w:t xml:space="preserve"> </w:t>
      </w:r>
      <w:r>
        <w:rPr>
          <w:sz w:val="28"/>
          <w:szCs w:val="28"/>
        </w:rPr>
        <w:t>Comportamiento y el Endeudamiento</w:t>
      </w:r>
      <w:r w:rsidR="00092085">
        <w:rPr>
          <w:sz w:val="28"/>
          <w:szCs w:val="28"/>
        </w:rPr>
        <w:t>:</w:t>
      </w:r>
    </w:p>
    <w:p w14:paraId="3655F413" w14:textId="77777777" w:rsidR="002906ED" w:rsidRDefault="000D7E79">
      <w:pPr>
        <w:jc w:val="both"/>
        <w:rPr>
          <w:sz w:val="28"/>
          <w:szCs w:val="28"/>
        </w:rPr>
      </w:pPr>
      <w:r>
        <w:rPr>
          <w:sz w:val="28"/>
          <w:szCs w:val="28"/>
        </w:rPr>
        <w:t xml:space="preserve">33 asociados 50% es el mayor nivel de endeudamiento con coomei: 32 reflejan buen comportamiento de pago y 1 está en calificación D. pero este crédito por ser deducción de nómina en coomei califa A, si pasara a taquilla entraría en riesgo de difícil </w:t>
      </w:r>
      <w:r w:rsidR="00092085">
        <w:rPr>
          <w:sz w:val="28"/>
          <w:szCs w:val="28"/>
        </w:rPr>
        <w:t xml:space="preserve">cobro. </w:t>
      </w:r>
    </w:p>
    <w:p w14:paraId="1A8157CB" w14:textId="77777777" w:rsidR="002906ED" w:rsidRDefault="000D7E79">
      <w:pPr>
        <w:jc w:val="both"/>
        <w:rPr>
          <w:sz w:val="28"/>
          <w:szCs w:val="28"/>
        </w:rPr>
      </w:pPr>
      <w:r>
        <w:rPr>
          <w:sz w:val="28"/>
          <w:szCs w:val="28"/>
        </w:rPr>
        <w:t xml:space="preserve">79 asociados 50% el mayor nivel de endeudamiento es con entidades externas de estos solo 69 reflejan buen comportamiento de pago se puede entrar a analizar para compra de cartera a tasas más bajas. y solo 10 tienen mal comportamiento de pago están en calificación D, y por </w:t>
      </w:r>
      <w:proofErr w:type="gramStart"/>
      <w:r>
        <w:rPr>
          <w:sz w:val="28"/>
          <w:szCs w:val="28"/>
        </w:rPr>
        <w:t>ser  créditos</w:t>
      </w:r>
      <w:proofErr w:type="gramEnd"/>
      <w:r>
        <w:rPr>
          <w:sz w:val="28"/>
          <w:szCs w:val="28"/>
        </w:rPr>
        <w:t xml:space="preserve"> por ser deducción de nómina en coomei califican en A, si pasaran a taquilla se corre el riesgo de difícil cobro, por tanto entrar a establecer garantías que pueda mitigar la deuda. </w:t>
      </w:r>
    </w:p>
    <w:p w14:paraId="6F11C6E2" w14:textId="77777777" w:rsidR="002906ED" w:rsidRDefault="002906ED">
      <w:pPr>
        <w:jc w:val="both"/>
        <w:rPr>
          <w:sz w:val="28"/>
          <w:szCs w:val="28"/>
        </w:rPr>
      </w:pPr>
    </w:p>
    <w:p w14:paraId="1807B887" w14:textId="77777777" w:rsidR="002906ED" w:rsidRDefault="002906ED">
      <w:pPr>
        <w:jc w:val="both"/>
        <w:rPr>
          <w:sz w:val="28"/>
          <w:szCs w:val="28"/>
        </w:rPr>
      </w:pPr>
    </w:p>
    <w:p w14:paraId="7B3EC039" w14:textId="77777777" w:rsidR="002906ED" w:rsidRDefault="000D7E79">
      <w:pPr>
        <w:jc w:val="both"/>
        <w:rPr>
          <w:sz w:val="28"/>
          <w:szCs w:val="28"/>
        </w:rPr>
      </w:pPr>
      <w:r>
        <w:rPr>
          <w:sz w:val="28"/>
          <w:szCs w:val="28"/>
        </w:rPr>
        <w:t xml:space="preserve"> .</w:t>
      </w:r>
    </w:p>
    <w:p w14:paraId="316138DA" w14:textId="77777777" w:rsidR="002906ED" w:rsidRDefault="000D7E79">
      <w:pPr>
        <w:jc w:val="both"/>
        <w:rPr>
          <w:sz w:val="28"/>
          <w:szCs w:val="28"/>
        </w:rPr>
      </w:pPr>
      <w:r>
        <w:rPr>
          <w:noProof/>
          <w:sz w:val="28"/>
          <w:szCs w:val="28"/>
          <w:lang w:val="es-CO" w:eastAsia="es-CO"/>
        </w:rPr>
        <w:lastRenderedPageBreak/>
        <w:drawing>
          <wp:inline distT="0" distB="0" distL="0" distR="0" wp14:anchorId="0B193814" wp14:editId="6188FD7A">
            <wp:extent cx="7862871" cy="3053072"/>
            <wp:effectExtent l="0" t="0" r="0" b="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7862871" cy="3053072"/>
                    </a:xfrm>
                    <a:prstGeom prst="rect">
                      <a:avLst/>
                    </a:prstGeom>
                    <a:ln/>
                  </pic:spPr>
                </pic:pic>
              </a:graphicData>
            </a:graphic>
          </wp:inline>
        </w:drawing>
      </w:r>
    </w:p>
    <w:p w14:paraId="79CEDDA1" w14:textId="77777777" w:rsidR="002906ED" w:rsidRDefault="002906ED">
      <w:pPr>
        <w:jc w:val="both"/>
        <w:rPr>
          <w:sz w:val="28"/>
          <w:szCs w:val="28"/>
        </w:rPr>
      </w:pPr>
    </w:p>
    <w:p w14:paraId="101972E9" w14:textId="77777777" w:rsidR="002906ED" w:rsidRDefault="002906ED">
      <w:pPr>
        <w:jc w:val="both"/>
        <w:rPr>
          <w:sz w:val="28"/>
          <w:szCs w:val="28"/>
        </w:rPr>
      </w:pPr>
    </w:p>
    <w:p w14:paraId="3B5A0D37" w14:textId="77777777" w:rsidR="002906ED" w:rsidRDefault="002906ED">
      <w:pPr>
        <w:jc w:val="both"/>
        <w:rPr>
          <w:sz w:val="28"/>
          <w:szCs w:val="28"/>
        </w:rPr>
      </w:pPr>
    </w:p>
    <w:p w14:paraId="08B9D625" w14:textId="77777777" w:rsidR="002906ED" w:rsidRDefault="002906ED">
      <w:pPr>
        <w:jc w:val="both"/>
        <w:rPr>
          <w:sz w:val="28"/>
          <w:szCs w:val="28"/>
        </w:rPr>
      </w:pPr>
    </w:p>
    <w:p w14:paraId="5C58F0C7" w14:textId="77777777" w:rsidR="002906ED" w:rsidRDefault="002906ED">
      <w:pPr>
        <w:jc w:val="both"/>
        <w:rPr>
          <w:sz w:val="28"/>
          <w:szCs w:val="28"/>
        </w:rPr>
      </w:pPr>
    </w:p>
    <w:p w14:paraId="5B19E9FE" w14:textId="77777777" w:rsidR="002906ED" w:rsidRDefault="000D7E79">
      <w:pPr>
        <w:jc w:val="both"/>
        <w:rPr>
          <w:sz w:val="28"/>
          <w:szCs w:val="28"/>
        </w:rPr>
      </w:pPr>
      <w:r>
        <w:rPr>
          <w:sz w:val="28"/>
          <w:szCs w:val="28"/>
        </w:rPr>
        <w:t xml:space="preserve">Panorama general de cartera (Matriz Resumen) Tipo Cartera Normal Aceptable Deficiente - Riesgo apreciable </w:t>
      </w:r>
      <w:proofErr w:type="spellStart"/>
      <w:r>
        <w:rPr>
          <w:sz w:val="28"/>
          <w:szCs w:val="28"/>
        </w:rPr>
        <w:t>Dificil</w:t>
      </w:r>
      <w:proofErr w:type="spellEnd"/>
      <w:r>
        <w:rPr>
          <w:sz w:val="28"/>
          <w:szCs w:val="28"/>
        </w:rPr>
        <w:t xml:space="preserve"> cobro - Riesgo </w:t>
      </w:r>
      <w:proofErr w:type="spellStart"/>
      <w:r>
        <w:rPr>
          <w:sz w:val="28"/>
          <w:szCs w:val="28"/>
        </w:rPr>
        <w:t>Significativ</w:t>
      </w:r>
      <w:proofErr w:type="spellEnd"/>
      <w:r>
        <w:rPr>
          <w:sz w:val="28"/>
          <w:szCs w:val="28"/>
        </w:rPr>
        <w:t xml:space="preserve"> o Incobrable Castigada</w:t>
      </w:r>
    </w:p>
    <w:p w14:paraId="0C329E1A" w14:textId="77777777" w:rsidR="002906ED" w:rsidRDefault="002906ED">
      <w:pPr>
        <w:jc w:val="both"/>
        <w:rPr>
          <w:sz w:val="28"/>
          <w:szCs w:val="28"/>
        </w:rPr>
      </w:pPr>
    </w:p>
    <w:p w14:paraId="0CE80358" w14:textId="77777777" w:rsidR="002906ED" w:rsidRDefault="000D7E79">
      <w:pPr>
        <w:jc w:val="both"/>
        <w:rPr>
          <w:sz w:val="28"/>
          <w:szCs w:val="28"/>
        </w:rPr>
      </w:pPr>
      <w:r>
        <w:rPr>
          <w:noProof/>
          <w:sz w:val="28"/>
          <w:szCs w:val="28"/>
          <w:lang w:val="es-CO" w:eastAsia="es-CO"/>
        </w:rPr>
        <w:lastRenderedPageBreak/>
        <w:drawing>
          <wp:inline distT="0" distB="0" distL="0" distR="0" wp14:anchorId="5F712396" wp14:editId="126F0B69">
            <wp:extent cx="8051153" cy="2280287"/>
            <wp:effectExtent l="0" t="0" r="0" b="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8051153" cy="2280287"/>
                    </a:xfrm>
                    <a:prstGeom prst="rect">
                      <a:avLst/>
                    </a:prstGeom>
                    <a:ln/>
                  </pic:spPr>
                </pic:pic>
              </a:graphicData>
            </a:graphic>
          </wp:inline>
        </w:drawing>
      </w:r>
    </w:p>
    <w:p w14:paraId="3BD50DC7" w14:textId="77777777" w:rsidR="002906ED" w:rsidRDefault="002906ED">
      <w:pPr>
        <w:jc w:val="both"/>
        <w:rPr>
          <w:sz w:val="28"/>
          <w:szCs w:val="28"/>
        </w:rPr>
      </w:pPr>
    </w:p>
    <w:p w14:paraId="777E57B7" w14:textId="77777777" w:rsidR="002906ED" w:rsidRDefault="000D7E79">
      <w:pPr>
        <w:jc w:val="both"/>
        <w:rPr>
          <w:b/>
          <w:sz w:val="28"/>
          <w:szCs w:val="28"/>
        </w:rPr>
      </w:pPr>
      <w:r>
        <w:rPr>
          <w:noProof/>
          <w:sz w:val="28"/>
          <w:szCs w:val="28"/>
          <w:lang w:val="es-CO" w:eastAsia="es-CO"/>
        </w:rPr>
        <w:drawing>
          <wp:inline distT="0" distB="0" distL="0" distR="0" wp14:anchorId="49156D6C" wp14:editId="56139D80">
            <wp:extent cx="8075718" cy="2109207"/>
            <wp:effectExtent l="0" t="0" r="0" 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8075718" cy="2109207"/>
                    </a:xfrm>
                    <a:prstGeom prst="rect">
                      <a:avLst/>
                    </a:prstGeom>
                    <a:ln/>
                  </pic:spPr>
                </pic:pic>
              </a:graphicData>
            </a:graphic>
          </wp:inline>
        </w:drawing>
      </w:r>
    </w:p>
    <w:p w14:paraId="44F8122C" w14:textId="77777777" w:rsidR="002906ED" w:rsidRDefault="002906ED">
      <w:pPr>
        <w:jc w:val="both"/>
        <w:rPr>
          <w:b/>
          <w:sz w:val="28"/>
          <w:szCs w:val="28"/>
        </w:rPr>
      </w:pPr>
    </w:p>
    <w:p w14:paraId="7BDE0436" w14:textId="77777777" w:rsidR="002906ED" w:rsidRDefault="002906ED">
      <w:pPr>
        <w:jc w:val="both"/>
        <w:rPr>
          <w:b/>
          <w:sz w:val="28"/>
          <w:szCs w:val="28"/>
        </w:rPr>
      </w:pPr>
    </w:p>
    <w:p w14:paraId="0F5490D8" w14:textId="77777777" w:rsidR="002906ED" w:rsidRDefault="002906ED">
      <w:pPr>
        <w:jc w:val="both"/>
        <w:rPr>
          <w:b/>
          <w:sz w:val="28"/>
          <w:szCs w:val="28"/>
        </w:rPr>
      </w:pPr>
    </w:p>
    <w:p w14:paraId="3A456072" w14:textId="77777777" w:rsidR="002906ED" w:rsidRDefault="002906ED">
      <w:pPr>
        <w:jc w:val="both"/>
        <w:rPr>
          <w:sz w:val="28"/>
          <w:szCs w:val="28"/>
        </w:rPr>
      </w:pPr>
    </w:p>
    <w:p w14:paraId="1291D52D" w14:textId="77777777" w:rsidR="002906ED" w:rsidRDefault="002906ED">
      <w:pPr>
        <w:jc w:val="both"/>
        <w:rPr>
          <w:sz w:val="28"/>
          <w:szCs w:val="28"/>
        </w:rPr>
      </w:pPr>
    </w:p>
    <w:p w14:paraId="7FABD811" w14:textId="77777777" w:rsidR="002906ED" w:rsidRDefault="002906ED">
      <w:pPr>
        <w:jc w:val="both"/>
        <w:rPr>
          <w:b/>
          <w:sz w:val="28"/>
          <w:szCs w:val="28"/>
        </w:rPr>
      </w:pPr>
    </w:p>
    <w:p w14:paraId="7E8CF145" w14:textId="77777777" w:rsidR="002906ED" w:rsidRDefault="002906ED">
      <w:pPr>
        <w:jc w:val="both"/>
        <w:rPr>
          <w:b/>
          <w:sz w:val="28"/>
          <w:szCs w:val="28"/>
        </w:rPr>
      </w:pPr>
    </w:p>
    <w:p w14:paraId="0010CFE4" w14:textId="77777777" w:rsidR="002906ED" w:rsidRDefault="000D7E79">
      <w:pPr>
        <w:jc w:val="both"/>
        <w:rPr>
          <w:sz w:val="28"/>
          <w:szCs w:val="28"/>
        </w:rPr>
      </w:pPr>
      <w:r>
        <w:rPr>
          <w:b/>
          <w:sz w:val="28"/>
          <w:szCs w:val="28"/>
        </w:rPr>
        <w:t xml:space="preserve">   7.</w:t>
      </w:r>
      <w:r>
        <w:rPr>
          <w:sz w:val="28"/>
          <w:szCs w:val="28"/>
        </w:rPr>
        <w:t xml:space="preserve"> </w:t>
      </w:r>
      <w:r>
        <w:rPr>
          <w:b/>
          <w:sz w:val="28"/>
          <w:szCs w:val="28"/>
        </w:rPr>
        <w:t xml:space="preserve">EVALUACIÓN  </w:t>
      </w:r>
    </w:p>
    <w:p w14:paraId="20041FFE" w14:textId="77777777" w:rsidR="002906ED" w:rsidRDefault="000D7E79">
      <w:pPr>
        <w:spacing w:line="259" w:lineRule="auto"/>
        <w:ind w:left="720"/>
        <w:jc w:val="both"/>
        <w:rPr>
          <w:sz w:val="28"/>
          <w:szCs w:val="28"/>
        </w:rPr>
      </w:pPr>
      <w:r>
        <w:rPr>
          <w:sz w:val="28"/>
          <w:szCs w:val="28"/>
        </w:rPr>
        <w:t xml:space="preserve"> </w:t>
      </w:r>
    </w:p>
    <w:p w14:paraId="594C15A9" w14:textId="77777777" w:rsidR="002906ED" w:rsidRDefault="000D7E79">
      <w:pPr>
        <w:jc w:val="both"/>
        <w:rPr>
          <w:sz w:val="28"/>
          <w:szCs w:val="28"/>
        </w:rPr>
      </w:pPr>
      <w:r>
        <w:rPr>
          <w:sz w:val="28"/>
          <w:szCs w:val="28"/>
        </w:rPr>
        <w:t xml:space="preserve">En cumplimiento de las funciones asignadas al Comité de Crédito al estudiar las solicitudes por los asociados, de conformidad con las Circular Básica y Financiera, para lo cual se utilizar el servicio ofrecido por el proveedor CIFIN.  Con la información suministrada por esta entidad, el Comité realiza un análisis de forma aleatoria a algunos créditos que presentaron hasta el 31 de diciembre de 2020. Dicha información y análisis estadístico y cuantitativo da valor agregado a las decisiones frente al riesgo, los niveles de endeudamiento de cada asociado estudiado al igual que sirve de referente para la toma de decisiones al Comité de Crédito al momento de Aprobar un crédito, con estos otorgamientos el comité de evaluación de cartera realiza la verificación en que se encuentren cumpliendo todos los lineamientos. </w:t>
      </w:r>
    </w:p>
    <w:p w14:paraId="56E7D952" w14:textId="77777777" w:rsidR="002906ED" w:rsidRDefault="000D7E79">
      <w:pPr>
        <w:spacing w:line="259" w:lineRule="auto"/>
        <w:jc w:val="both"/>
        <w:rPr>
          <w:sz w:val="28"/>
          <w:szCs w:val="28"/>
        </w:rPr>
      </w:pPr>
      <w:r>
        <w:rPr>
          <w:sz w:val="28"/>
          <w:szCs w:val="28"/>
        </w:rPr>
        <w:t xml:space="preserve"> </w:t>
      </w:r>
    </w:p>
    <w:p w14:paraId="17891255" w14:textId="77777777" w:rsidR="002906ED" w:rsidRDefault="000D7E79">
      <w:pPr>
        <w:spacing w:line="259" w:lineRule="auto"/>
        <w:jc w:val="both"/>
        <w:rPr>
          <w:sz w:val="28"/>
          <w:szCs w:val="28"/>
        </w:rPr>
      </w:pPr>
      <w:r>
        <w:rPr>
          <w:sz w:val="28"/>
          <w:szCs w:val="28"/>
        </w:rPr>
        <w:t xml:space="preserve"> </w:t>
      </w:r>
    </w:p>
    <w:p w14:paraId="0090FDCE" w14:textId="77777777" w:rsidR="002906ED" w:rsidRDefault="000D7E79">
      <w:pPr>
        <w:numPr>
          <w:ilvl w:val="0"/>
          <w:numId w:val="5"/>
        </w:numPr>
        <w:pBdr>
          <w:top w:val="nil"/>
          <w:left w:val="nil"/>
          <w:bottom w:val="nil"/>
          <w:right w:val="nil"/>
          <w:between w:val="nil"/>
        </w:pBdr>
        <w:spacing w:after="5" w:line="250" w:lineRule="auto"/>
        <w:jc w:val="both"/>
        <w:rPr>
          <w:color w:val="000000"/>
          <w:sz w:val="28"/>
          <w:szCs w:val="28"/>
        </w:rPr>
      </w:pPr>
      <w:r>
        <w:rPr>
          <w:b/>
          <w:color w:val="000000"/>
          <w:sz w:val="28"/>
          <w:szCs w:val="28"/>
        </w:rPr>
        <w:t>RECUPERACIÓN DE CARTERA CASTIGADA 2012 -2019</w:t>
      </w:r>
    </w:p>
    <w:p w14:paraId="556580C8" w14:textId="77777777" w:rsidR="002906ED" w:rsidRDefault="002906ED">
      <w:pPr>
        <w:jc w:val="both"/>
        <w:rPr>
          <w:sz w:val="28"/>
          <w:szCs w:val="28"/>
        </w:rPr>
      </w:pPr>
    </w:p>
    <w:p w14:paraId="320A544C" w14:textId="77777777" w:rsidR="002906ED" w:rsidRDefault="000D7E79">
      <w:pPr>
        <w:spacing w:line="259" w:lineRule="auto"/>
        <w:jc w:val="both"/>
        <w:rPr>
          <w:sz w:val="28"/>
          <w:szCs w:val="28"/>
        </w:rPr>
      </w:pPr>
      <w:r>
        <w:rPr>
          <w:sz w:val="28"/>
          <w:szCs w:val="28"/>
        </w:rPr>
        <w:t xml:space="preserve">Hasta la fecha no hay firmas de abogados para el recaudo de la cartera castigada por no contar con información suficiente de ubicación de los asociados para poder cumplir de manera satisfactoria con un contrato en los procesos de recaudo por ser crédito muy vencidos, </w:t>
      </w:r>
    </w:p>
    <w:p w14:paraId="5150AC2B" w14:textId="77777777" w:rsidR="002906ED" w:rsidRDefault="002906ED">
      <w:pPr>
        <w:jc w:val="both"/>
        <w:rPr>
          <w:b/>
          <w:sz w:val="28"/>
          <w:szCs w:val="28"/>
        </w:rPr>
      </w:pPr>
    </w:p>
    <w:p w14:paraId="1EE9CF2E" w14:textId="77777777" w:rsidR="002906ED" w:rsidRDefault="000D7E79">
      <w:pPr>
        <w:jc w:val="both"/>
        <w:rPr>
          <w:b/>
          <w:sz w:val="28"/>
          <w:szCs w:val="28"/>
        </w:rPr>
      </w:pPr>
      <w:r>
        <w:rPr>
          <w:sz w:val="28"/>
          <w:szCs w:val="28"/>
        </w:rPr>
        <w:lastRenderedPageBreak/>
        <w:t xml:space="preserve"> </w:t>
      </w:r>
      <w:r>
        <w:rPr>
          <w:noProof/>
          <w:sz w:val="28"/>
          <w:szCs w:val="28"/>
          <w:lang w:val="es-CO" w:eastAsia="es-CO"/>
        </w:rPr>
        <w:drawing>
          <wp:inline distT="0" distB="0" distL="0" distR="0" wp14:anchorId="498E2C76" wp14:editId="6E4C9975">
            <wp:extent cx="5207310" cy="816169"/>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5207310" cy="816169"/>
                    </a:xfrm>
                    <a:prstGeom prst="rect">
                      <a:avLst/>
                    </a:prstGeom>
                    <a:ln/>
                  </pic:spPr>
                </pic:pic>
              </a:graphicData>
            </a:graphic>
          </wp:inline>
        </w:drawing>
      </w:r>
    </w:p>
    <w:p w14:paraId="0ABDDE39" w14:textId="77777777" w:rsidR="002906ED" w:rsidRDefault="002906ED">
      <w:pPr>
        <w:spacing w:line="259" w:lineRule="auto"/>
        <w:jc w:val="both"/>
        <w:rPr>
          <w:b/>
          <w:sz w:val="28"/>
          <w:szCs w:val="28"/>
        </w:rPr>
      </w:pPr>
    </w:p>
    <w:p w14:paraId="3102E143" w14:textId="77777777" w:rsidR="002906ED" w:rsidRDefault="002906ED">
      <w:pPr>
        <w:spacing w:line="259" w:lineRule="auto"/>
        <w:jc w:val="both"/>
        <w:rPr>
          <w:b/>
          <w:sz w:val="28"/>
          <w:szCs w:val="28"/>
        </w:rPr>
      </w:pPr>
    </w:p>
    <w:p w14:paraId="568895CA" w14:textId="77777777" w:rsidR="002906ED" w:rsidRDefault="002906ED">
      <w:pPr>
        <w:spacing w:line="259" w:lineRule="auto"/>
        <w:jc w:val="both"/>
        <w:rPr>
          <w:b/>
          <w:sz w:val="28"/>
          <w:szCs w:val="28"/>
        </w:rPr>
      </w:pPr>
    </w:p>
    <w:p w14:paraId="50E7470A" w14:textId="77777777" w:rsidR="002906ED" w:rsidRDefault="000D7E79">
      <w:pPr>
        <w:spacing w:after="5" w:line="250" w:lineRule="auto"/>
        <w:ind w:left="-5"/>
        <w:jc w:val="both"/>
        <w:rPr>
          <w:sz w:val="28"/>
          <w:szCs w:val="28"/>
        </w:rPr>
      </w:pPr>
      <w:r>
        <w:rPr>
          <w:b/>
          <w:sz w:val="28"/>
          <w:szCs w:val="28"/>
        </w:rPr>
        <w:t>CONCLUSIONES GENERALES:</w:t>
      </w:r>
      <w:r>
        <w:rPr>
          <w:sz w:val="28"/>
          <w:szCs w:val="28"/>
        </w:rPr>
        <w:t xml:space="preserve"> </w:t>
      </w:r>
    </w:p>
    <w:p w14:paraId="539D309C" w14:textId="77777777" w:rsidR="002906ED" w:rsidRDefault="002906ED">
      <w:pPr>
        <w:spacing w:line="259" w:lineRule="auto"/>
        <w:ind w:firstLine="72"/>
        <w:jc w:val="both"/>
        <w:rPr>
          <w:sz w:val="28"/>
          <w:szCs w:val="28"/>
        </w:rPr>
      </w:pPr>
    </w:p>
    <w:p w14:paraId="505EB2AD" w14:textId="77777777" w:rsidR="002906ED" w:rsidRDefault="000D7E79">
      <w:pPr>
        <w:numPr>
          <w:ilvl w:val="0"/>
          <w:numId w:val="1"/>
        </w:numPr>
        <w:spacing w:after="4" w:line="249" w:lineRule="auto"/>
        <w:jc w:val="both"/>
        <w:rPr>
          <w:sz w:val="28"/>
          <w:szCs w:val="28"/>
        </w:rPr>
      </w:pPr>
      <w:r>
        <w:rPr>
          <w:sz w:val="28"/>
          <w:szCs w:val="28"/>
        </w:rPr>
        <w:t xml:space="preserve">La Cartera de la Cooperativa es sana. Esto es, el porcentaje de cartera morosa, respecto del total, es bajo. No obstante, se deben mantener todos los cuidados necesarios para que esta no se deteriore.  </w:t>
      </w:r>
    </w:p>
    <w:p w14:paraId="5BF9872A" w14:textId="77777777" w:rsidR="002906ED" w:rsidRDefault="002906ED">
      <w:pPr>
        <w:spacing w:line="259" w:lineRule="auto"/>
        <w:jc w:val="both"/>
        <w:rPr>
          <w:sz w:val="28"/>
          <w:szCs w:val="28"/>
        </w:rPr>
      </w:pPr>
    </w:p>
    <w:p w14:paraId="0EC33AD1" w14:textId="77777777" w:rsidR="002906ED" w:rsidRDefault="000D7E79">
      <w:pPr>
        <w:numPr>
          <w:ilvl w:val="0"/>
          <w:numId w:val="1"/>
        </w:numPr>
        <w:pBdr>
          <w:top w:val="nil"/>
          <w:left w:val="nil"/>
          <w:bottom w:val="nil"/>
          <w:right w:val="nil"/>
          <w:between w:val="nil"/>
        </w:pBdr>
        <w:spacing w:after="5" w:line="250" w:lineRule="auto"/>
        <w:jc w:val="both"/>
        <w:rPr>
          <w:color w:val="000000"/>
          <w:sz w:val="28"/>
          <w:szCs w:val="28"/>
        </w:rPr>
      </w:pPr>
      <w:r>
        <w:rPr>
          <w:b/>
          <w:color w:val="000000"/>
          <w:sz w:val="28"/>
          <w:szCs w:val="28"/>
        </w:rPr>
        <w:t xml:space="preserve">RECOMENDACIONES GENERALES: </w:t>
      </w:r>
    </w:p>
    <w:p w14:paraId="72B40E42" w14:textId="77777777" w:rsidR="002906ED" w:rsidRDefault="002906ED">
      <w:pPr>
        <w:spacing w:line="259" w:lineRule="auto"/>
        <w:ind w:firstLine="72"/>
        <w:jc w:val="both"/>
        <w:rPr>
          <w:sz w:val="28"/>
          <w:szCs w:val="28"/>
        </w:rPr>
      </w:pPr>
    </w:p>
    <w:p w14:paraId="0093EBDF" w14:textId="77777777" w:rsidR="002906ED" w:rsidRDefault="000D7E79">
      <w:pPr>
        <w:numPr>
          <w:ilvl w:val="0"/>
          <w:numId w:val="1"/>
        </w:numPr>
        <w:spacing w:after="4" w:line="249" w:lineRule="auto"/>
        <w:jc w:val="both"/>
        <w:rPr>
          <w:sz w:val="28"/>
          <w:szCs w:val="28"/>
        </w:rPr>
      </w:pPr>
      <w:r>
        <w:rPr>
          <w:sz w:val="28"/>
          <w:szCs w:val="28"/>
        </w:rPr>
        <w:t xml:space="preserve">Los analistas de Créditos en Coomei deben estar </w:t>
      </w:r>
      <w:r w:rsidR="00092085">
        <w:rPr>
          <w:sz w:val="28"/>
          <w:szCs w:val="28"/>
        </w:rPr>
        <w:t>l</w:t>
      </w:r>
      <w:r>
        <w:rPr>
          <w:sz w:val="28"/>
          <w:szCs w:val="28"/>
        </w:rPr>
        <w:t xml:space="preserve">o ser suficientemente capacitados, que logren a tiempo identificar solicitudes que puedan generar un riesgo a futuro al tesoro de coomei </w:t>
      </w:r>
    </w:p>
    <w:p w14:paraId="45CC8116" w14:textId="77777777" w:rsidR="002906ED" w:rsidRDefault="000D7E79">
      <w:pPr>
        <w:numPr>
          <w:ilvl w:val="0"/>
          <w:numId w:val="1"/>
        </w:numPr>
        <w:spacing w:after="4" w:line="249" w:lineRule="auto"/>
        <w:jc w:val="both"/>
        <w:rPr>
          <w:sz w:val="28"/>
          <w:szCs w:val="28"/>
        </w:rPr>
      </w:pPr>
      <w:r>
        <w:rPr>
          <w:sz w:val="28"/>
          <w:szCs w:val="28"/>
        </w:rPr>
        <w:t>Todo crédito debe tener las garantías mínimas admisibles, en especial mirar que el flujo de caja del asociado tenga la suficiente solvencia para mantener en el tiempo un registro de pagos oportuno, no basta con las garantías que pueda ofertar.</w:t>
      </w:r>
      <w:r>
        <w:rPr>
          <w:b/>
          <w:sz w:val="28"/>
          <w:szCs w:val="28"/>
        </w:rPr>
        <w:t xml:space="preserve"> </w:t>
      </w:r>
    </w:p>
    <w:p w14:paraId="5180EFE0" w14:textId="77777777" w:rsidR="002906ED" w:rsidRDefault="000D7E79">
      <w:pPr>
        <w:numPr>
          <w:ilvl w:val="0"/>
          <w:numId w:val="1"/>
        </w:numPr>
        <w:pBdr>
          <w:top w:val="nil"/>
          <w:left w:val="nil"/>
          <w:bottom w:val="nil"/>
          <w:right w:val="nil"/>
          <w:between w:val="nil"/>
        </w:pBdr>
        <w:jc w:val="both"/>
        <w:rPr>
          <w:color w:val="000000"/>
          <w:sz w:val="28"/>
          <w:szCs w:val="28"/>
        </w:rPr>
      </w:pPr>
      <w:r>
        <w:rPr>
          <w:color w:val="000000"/>
          <w:sz w:val="28"/>
          <w:szCs w:val="28"/>
        </w:rPr>
        <w:t>Es muy importante que la Cooperativa siga trabajando con sus asociados el tema de educación financiera, esto permitirá que las decisiones de crédito sean tomadas de manera consciente y con beneficios para los asociados.</w:t>
      </w:r>
    </w:p>
    <w:p w14:paraId="5A7F433C" w14:textId="77777777" w:rsidR="002906ED" w:rsidRDefault="000D7E79">
      <w:pPr>
        <w:numPr>
          <w:ilvl w:val="0"/>
          <w:numId w:val="1"/>
        </w:numPr>
        <w:pBdr>
          <w:top w:val="nil"/>
          <w:left w:val="nil"/>
          <w:bottom w:val="nil"/>
          <w:right w:val="nil"/>
          <w:between w:val="nil"/>
        </w:pBdr>
        <w:jc w:val="both"/>
        <w:rPr>
          <w:color w:val="000000"/>
          <w:sz w:val="28"/>
          <w:szCs w:val="28"/>
        </w:rPr>
      </w:pPr>
      <w:r>
        <w:rPr>
          <w:color w:val="000000"/>
          <w:sz w:val="28"/>
          <w:szCs w:val="28"/>
        </w:rPr>
        <w:lastRenderedPageBreak/>
        <w:t>Para los asociados empleados que les estudien con mayor cuidado las peticiones de créditos mayores a su tiempo del contrato para evitar que entren en mora por no tener sueldo para pagar.</w:t>
      </w:r>
    </w:p>
    <w:p w14:paraId="5F432CFC" w14:textId="77777777" w:rsidR="002906ED" w:rsidRDefault="002906ED">
      <w:pPr>
        <w:pBdr>
          <w:top w:val="nil"/>
          <w:left w:val="nil"/>
          <w:bottom w:val="nil"/>
          <w:right w:val="nil"/>
          <w:between w:val="nil"/>
        </w:pBdr>
        <w:jc w:val="both"/>
        <w:rPr>
          <w:sz w:val="28"/>
          <w:szCs w:val="28"/>
        </w:rPr>
      </w:pPr>
    </w:p>
    <w:p w14:paraId="2F21B7BC" w14:textId="77777777" w:rsidR="002906ED" w:rsidRDefault="000D7E79">
      <w:pPr>
        <w:spacing w:line="259" w:lineRule="auto"/>
        <w:jc w:val="both"/>
        <w:rPr>
          <w:sz w:val="28"/>
          <w:szCs w:val="28"/>
        </w:rPr>
      </w:pPr>
      <w:r>
        <w:rPr>
          <w:b/>
          <w:sz w:val="28"/>
          <w:szCs w:val="28"/>
        </w:rPr>
        <w:t xml:space="preserve"> </w:t>
      </w:r>
    </w:p>
    <w:p w14:paraId="3B926843" w14:textId="77777777" w:rsidR="002906ED" w:rsidRDefault="000D7E79">
      <w:pPr>
        <w:spacing w:after="5" w:line="250" w:lineRule="auto"/>
        <w:ind w:left="-5"/>
        <w:jc w:val="both"/>
        <w:rPr>
          <w:sz w:val="28"/>
          <w:szCs w:val="28"/>
        </w:rPr>
      </w:pPr>
      <w:r>
        <w:rPr>
          <w:b/>
          <w:sz w:val="28"/>
          <w:szCs w:val="28"/>
        </w:rPr>
        <w:t xml:space="preserve">RECOMENDACIONES ESPECÍFICAS: </w:t>
      </w:r>
    </w:p>
    <w:p w14:paraId="7AB69852" w14:textId="77777777" w:rsidR="002906ED" w:rsidRDefault="000D7E79">
      <w:pPr>
        <w:spacing w:line="259" w:lineRule="auto"/>
        <w:jc w:val="both"/>
        <w:rPr>
          <w:sz w:val="28"/>
          <w:szCs w:val="28"/>
        </w:rPr>
      </w:pPr>
      <w:r>
        <w:rPr>
          <w:b/>
          <w:sz w:val="28"/>
          <w:szCs w:val="28"/>
        </w:rPr>
        <w:t xml:space="preserve"> </w:t>
      </w:r>
    </w:p>
    <w:p w14:paraId="49FE74A7" w14:textId="77777777" w:rsidR="002906ED" w:rsidRDefault="00092085">
      <w:pPr>
        <w:numPr>
          <w:ilvl w:val="0"/>
          <w:numId w:val="4"/>
        </w:numPr>
        <w:spacing w:after="4" w:line="249" w:lineRule="auto"/>
        <w:ind w:hanging="360"/>
        <w:jc w:val="both"/>
        <w:rPr>
          <w:sz w:val="28"/>
          <w:szCs w:val="28"/>
        </w:rPr>
      </w:pPr>
      <w:r>
        <w:rPr>
          <w:sz w:val="28"/>
          <w:szCs w:val="28"/>
        </w:rPr>
        <w:t>E</w:t>
      </w:r>
      <w:r w:rsidR="000D7E79">
        <w:rPr>
          <w:sz w:val="28"/>
          <w:szCs w:val="28"/>
        </w:rPr>
        <w:t>sta</w:t>
      </w:r>
      <w:r>
        <w:rPr>
          <w:sz w:val="28"/>
          <w:szCs w:val="28"/>
        </w:rPr>
        <w:t>r</w:t>
      </w:r>
      <w:r w:rsidR="000D7E79">
        <w:rPr>
          <w:sz w:val="28"/>
          <w:szCs w:val="28"/>
        </w:rPr>
        <w:t xml:space="preserve"> actualizando la base de datos de todos los asociados al momento de adquirir un crédito con la Cooperativa y analizar y confirmar detalladamente que su información sea fidedigna.</w:t>
      </w:r>
    </w:p>
    <w:p w14:paraId="41CE160A" w14:textId="77777777" w:rsidR="002906ED" w:rsidRDefault="000D7E79">
      <w:pPr>
        <w:numPr>
          <w:ilvl w:val="0"/>
          <w:numId w:val="4"/>
        </w:numPr>
        <w:spacing w:after="4" w:line="249" w:lineRule="auto"/>
        <w:ind w:hanging="360"/>
        <w:jc w:val="both"/>
        <w:rPr>
          <w:sz w:val="28"/>
          <w:szCs w:val="28"/>
        </w:rPr>
      </w:pPr>
      <w:r>
        <w:rPr>
          <w:sz w:val="28"/>
          <w:szCs w:val="28"/>
        </w:rPr>
        <w:t xml:space="preserve"> </w:t>
      </w:r>
      <w:r w:rsidR="00092085">
        <w:rPr>
          <w:sz w:val="28"/>
          <w:szCs w:val="28"/>
        </w:rPr>
        <w:t xml:space="preserve">Mejora continua </w:t>
      </w:r>
      <w:r>
        <w:rPr>
          <w:sz w:val="28"/>
          <w:szCs w:val="28"/>
        </w:rPr>
        <w:t xml:space="preserve">a los procedimientos y </w:t>
      </w:r>
      <w:r w:rsidR="00092085">
        <w:rPr>
          <w:sz w:val="28"/>
          <w:szCs w:val="28"/>
        </w:rPr>
        <w:t xml:space="preserve">para </w:t>
      </w:r>
      <w:r>
        <w:rPr>
          <w:sz w:val="28"/>
          <w:szCs w:val="28"/>
        </w:rPr>
        <w:t xml:space="preserve">brindar un mejor servicio a los asociados. </w:t>
      </w:r>
    </w:p>
    <w:p w14:paraId="1A3062A4" w14:textId="77777777" w:rsidR="002906ED" w:rsidRDefault="000D7E79">
      <w:pPr>
        <w:numPr>
          <w:ilvl w:val="0"/>
          <w:numId w:val="4"/>
        </w:numPr>
        <w:spacing w:after="4" w:line="249" w:lineRule="auto"/>
        <w:ind w:hanging="360"/>
        <w:jc w:val="both"/>
        <w:rPr>
          <w:sz w:val="28"/>
          <w:szCs w:val="28"/>
        </w:rPr>
      </w:pPr>
      <w:r>
        <w:rPr>
          <w:sz w:val="28"/>
          <w:szCs w:val="28"/>
        </w:rPr>
        <w:t xml:space="preserve">Tener presente las preguntas frecuentes por el SGC para medir el servicio a los asociados. </w:t>
      </w:r>
    </w:p>
    <w:p w14:paraId="4D44DB5C" w14:textId="77777777" w:rsidR="002906ED" w:rsidRDefault="000D7E79">
      <w:pPr>
        <w:numPr>
          <w:ilvl w:val="0"/>
          <w:numId w:val="4"/>
        </w:numPr>
        <w:spacing w:after="4" w:line="249" w:lineRule="auto"/>
        <w:ind w:hanging="360"/>
        <w:jc w:val="both"/>
        <w:rPr>
          <w:sz w:val="28"/>
          <w:szCs w:val="28"/>
        </w:rPr>
      </w:pPr>
      <w:r>
        <w:rPr>
          <w:sz w:val="28"/>
          <w:szCs w:val="28"/>
        </w:rPr>
        <w:t xml:space="preserve">Capacitaciones conjuntas a los comités de Crédito y Evaluación de Cartera sobre temas pertinentes.  </w:t>
      </w:r>
    </w:p>
    <w:p w14:paraId="65A03196" w14:textId="77777777" w:rsidR="002906ED" w:rsidRDefault="000D7E79">
      <w:pPr>
        <w:spacing w:line="259" w:lineRule="auto"/>
        <w:ind w:left="713"/>
        <w:jc w:val="both"/>
        <w:rPr>
          <w:sz w:val="28"/>
          <w:szCs w:val="28"/>
        </w:rPr>
      </w:pPr>
      <w:r>
        <w:rPr>
          <w:sz w:val="28"/>
          <w:szCs w:val="28"/>
        </w:rPr>
        <w:t xml:space="preserve"> </w:t>
      </w:r>
    </w:p>
    <w:p w14:paraId="4D9B272D" w14:textId="77777777" w:rsidR="002906ED" w:rsidRDefault="000D7E79">
      <w:pPr>
        <w:spacing w:line="259" w:lineRule="auto"/>
        <w:ind w:left="713"/>
        <w:jc w:val="both"/>
        <w:rPr>
          <w:sz w:val="28"/>
          <w:szCs w:val="28"/>
        </w:rPr>
      </w:pPr>
      <w:r>
        <w:rPr>
          <w:sz w:val="28"/>
          <w:szCs w:val="28"/>
        </w:rPr>
        <w:t xml:space="preserve"> </w:t>
      </w:r>
    </w:p>
    <w:p w14:paraId="543AC176" w14:textId="77777777" w:rsidR="002906ED" w:rsidRDefault="000D7E79">
      <w:pPr>
        <w:spacing w:line="259" w:lineRule="auto"/>
        <w:ind w:left="720"/>
        <w:jc w:val="both"/>
        <w:rPr>
          <w:sz w:val="28"/>
          <w:szCs w:val="28"/>
        </w:rPr>
      </w:pPr>
      <w:r>
        <w:rPr>
          <w:sz w:val="28"/>
          <w:szCs w:val="28"/>
        </w:rPr>
        <w:t xml:space="preserve"> </w:t>
      </w:r>
    </w:p>
    <w:p w14:paraId="6D1CBD15" w14:textId="77777777" w:rsidR="002906ED" w:rsidRDefault="002906ED">
      <w:pPr>
        <w:jc w:val="both"/>
        <w:rPr>
          <w:b/>
          <w:sz w:val="28"/>
          <w:szCs w:val="28"/>
        </w:rPr>
      </w:pPr>
    </w:p>
    <w:p w14:paraId="028EBA15" w14:textId="77777777" w:rsidR="002906ED" w:rsidRDefault="000D7E79">
      <w:pPr>
        <w:jc w:val="both"/>
        <w:rPr>
          <w:b/>
          <w:sz w:val="28"/>
          <w:szCs w:val="28"/>
          <w:u w:val="single"/>
        </w:rPr>
      </w:pPr>
      <w:r>
        <w:rPr>
          <w:b/>
          <w:sz w:val="28"/>
          <w:szCs w:val="28"/>
        </w:rPr>
        <w:t xml:space="preserve">FIRMA RESPONSABLE: </w:t>
      </w:r>
      <w:r>
        <w:rPr>
          <w:b/>
          <w:sz w:val="28"/>
          <w:szCs w:val="28"/>
          <w:u w:val="single"/>
        </w:rPr>
        <w:t>_______NIDIA RAMIREZ VELEZ_______</w:t>
      </w:r>
    </w:p>
    <w:p w14:paraId="38855706" w14:textId="77777777" w:rsidR="002906ED" w:rsidRDefault="002906ED">
      <w:pPr>
        <w:jc w:val="both"/>
        <w:rPr>
          <w:b/>
          <w:sz w:val="28"/>
          <w:szCs w:val="28"/>
          <w:u w:val="single"/>
        </w:rPr>
      </w:pPr>
    </w:p>
    <w:p w14:paraId="6E685F24" w14:textId="77777777" w:rsidR="002906ED" w:rsidRDefault="000D7E79">
      <w:pPr>
        <w:jc w:val="both"/>
        <w:rPr>
          <w:b/>
          <w:sz w:val="28"/>
          <w:szCs w:val="28"/>
        </w:rPr>
      </w:pPr>
      <w:r>
        <w:rPr>
          <w:b/>
          <w:sz w:val="28"/>
          <w:szCs w:val="28"/>
        </w:rPr>
        <w:t xml:space="preserve"> </w:t>
      </w:r>
    </w:p>
    <w:sectPr w:rsidR="002906ED" w:rsidSect="0058292E">
      <w:headerReference w:type="default" r:id="rId21"/>
      <w:pgSz w:w="15840" w:h="12240" w:orient="landscape" w:code="1"/>
      <w:pgMar w:top="740" w:right="1860" w:bottom="780" w:left="2000" w:header="708" w:footer="18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C68C" w14:textId="77777777" w:rsidR="00113127" w:rsidRDefault="00113127">
      <w:r>
        <w:separator/>
      </w:r>
    </w:p>
  </w:endnote>
  <w:endnote w:type="continuationSeparator" w:id="0">
    <w:p w14:paraId="7C50F66C" w14:textId="77777777" w:rsidR="00113127" w:rsidRDefault="0011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A51D9" w14:textId="77777777" w:rsidR="00113127" w:rsidRDefault="00113127">
      <w:r>
        <w:separator/>
      </w:r>
    </w:p>
  </w:footnote>
  <w:footnote w:type="continuationSeparator" w:id="0">
    <w:p w14:paraId="23B1E0FD" w14:textId="77777777" w:rsidR="00113127" w:rsidRDefault="0011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4569" w14:textId="77777777" w:rsidR="002906ED" w:rsidRDefault="002906ED">
    <w:pPr>
      <w:widowControl w:val="0"/>
      <w:pBdr>
        <w:top w:val="nil"/>
        <w:left w:val="nil"/>
        <w:bottom w:val="nil"/>
        <w:right w:val="nil"/>
        <w:between w:val="nil"/>
      </w:pBdr>
      <w:spacing w:line="276" w:lineRule="auto"/>
      <w:rPr>
        <w:b/>
        <w:sz w:val="28"/>
        <w:szCs w:val="28"/>
      </w:rPr>
    </w:pPr>
  </w:p>
  <w:tbl>
    <w:tblPr>
      <w:tblStyle w:val="a"/>
      <w:tblW w:w="118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679"/>
      <w:gridCol w:w="3679"/>
      <w:gridCol w:w="3084"/>
    </w:tblGrid>
    <w:tr w:rsidR="002906ED" w14:paraId="2D1BF526" w14:textId="77777777">
      <w:trPr>
        <w:trHeight w:val="70"/>
        <w:jc w:val="center"/>
      </w:trPr>
      <w:tc>
        <w:tcPr>
          <w:tcW w:w="1419" w:type="dxa"/>
          <w:vMerge w:val="restart"/>
        </w:tcPr>
        <w:p w14:paraId="49EE905B" w14:textId="77777777" w:rsidR="002906ED" w:rsidRDefault="000D7E79">
          <w:pPr>
            <w:pBdr>
              <w:top w:val="nil"/>
              <w:left w:val="nil"/>
              <w:bottom w:val="nil"/>
              <w:right w:val="nil"/>
              <w:between w:val="nil"/>
            </w:pBdr>
            <w:jc w:val="center"/>
            <w:rPr>
              <w:b/>
              <w:color w:val="000000"/>
              <w:sz w:val="20"/>
              <w:szCs w:val="20"/>
            </w:rPr>
          </w:pPr>
          <w:r>
            <w:rPr>
              <w:rFonts w:ascii="Overlock" w:eastAsia="Overlock" w:hAnsi="Overlock" w:cs="Overlock"/>
              <w:b/>
              <w:noProof/>
              <w:color w:val="008000"/>
              <w:sz w:val="40"/>
              <w:szCs w:val="40"/>
              <w:lang w:val="es-CO" w:eastAsia="es-CO"/>
            </w:rPr>
            <w:drawing>
              <wp:inline distT="0" distB="0" distL="0" distR="0" wp14:anchorId="0DEFE45C" wp14:editId="47185C70">
                <wp:extent cx="666750" cy="952500"/>
                <wp:effectExtent l="0" t="0" r="0" b="0"/>
                <wp:docPr id="51" name="image11.png" descr="LOG"/>
                <wp:cNvGraphicFramePr/>
                <a:graphic xmlns:a="http://schemas.openxmlformats.org/drawingml/2006/main">
                  <a:graphicData uri="http://schemas.openxmlformats.org/drawingml/2006/picture">
                    <pic:pic xmlns:pic="http://schemas.openxmlformats.org/drawingml/2006/picture">
                      <pic:nvPicPr>
                        <pic:cNvPr id="0" name="image11.png" descr="LOG"/>
                        <pic:cNvPicPr preferRelativeResize="0"/>
                      </pic:nvPicPr>
                      <pic:blipFill>
                        <a:blip r:embed="rId1"/>
                        <a:srcRect/>
                        <a:stretch>
                          <a:fillRect/>
                        </a:stretch>
                      </pic:blipFill>
                      <pic:spPr>
                        <a:xfrm>
                          <a:off x="0" y="0"/>
                          <a:ext cx="666750" cy="952500"/>
                        </a:xfrm>
                        <a:prstGeom prst="rect">
                          <a:avLst/>
                        </a:prstGeom>
                        <a:ln/>
                      </pic:spPr>
                    </pic:pic>
                  </a:graphicData>
                </a:graphic>
              </wp:inline>
            </w:drawing>
          </w:r>
        </w:p>
      </w:tc>
      <w:tc>
        <w:tcPr>
          <w:tcW w:w="10442" w:type="dxa"/>
          <w:gridSpan w:val="3"/>
          <w:vAlign w:val="center"/>
        </w:tcPr>
        <w:p w14:paraId="6024CA46" w14:textId="77777777" w:rsidR="002906ED" w:rsidRDefault="002906ED">
          <w:pPr>
            <w:pStyle w:val="Ttulo1"/>
          </w:pPr>
        </w:p>
        <w:p w14:paraId="7E70C9C0" w14:textId="77777777" w:rsidR="002906ED" w:rsidRDefault="000D7E79">
          <w:pPr>
            <w:pStyle w:val="Ttulo1"/>
          </w:pPr>
          <w:r>
            <w:t xml:space="preserve">COOPERATIVA MULTIACTIVA PARA LA EDUCACIÓN INTEGRAL </w:t>
          </w:r>
        </w:p>
        <w:p w14:paraId="47F8C149" w14:textId="77777777" w:rsidR="002906ED" w:rsidRDefault="002906ED"/>
      </w:tc>
    </w:tr>
    <w:tr w:rsidR="002906ED" w14:paraId="642645B4" w14:textId="77777777">
      <w:trPr>
        <w:trHeight w:val="464"/>
        <w:jc w:val="center"/>
      </w:trPr>
      <w:tc>
        <w:tcPr>
          <w:tcW w:w="1419" w:type="dxa"/>
          <w:vMerge/>
        </w:tcPr>
        <w:p w14:paraId="24986E4D" w14:textId="77777777" w:rsidR="002906ED" w:rsidRDefault="002906ED">
          <w:pPr>
            <w:widowControl w:val="0"/>
            <w:pBdr>
              <w:top w:val="nil"/>
              <w:left w:val="nil"/>
              <w:bottom w:val="nil"/>
              <w:right w:val="nil"/>
              <w:between w:val="nil"/>
            </w:pBdr>
            <w:spacing w:line="276" w:lineRule="auto"/>
          </w:pPr>
        </w:p>
      </w:tc>
      <w:tc>
        <w:tcPr>
          <w:tcW w:w="10442" w:type="dxa"/>
          <w:gridSpan w:val="3"/>
          <w:vAlign w:val="center"/>
        </w:tcPr>
        <w:p w14:paraId="06CC3BFE" w14:textId="47481D9A" w:rsidR="002906ED" w:rsidRDefault="000D7E79">
          <w:pPr>
            <w:pStyle w:val="Ttulo1"/>
            <w:rPr>
              <w:sz w:val="24"/>
            </w:rPr>
          </w:pPr>
          <w:r>
            <w:rPr>
              <w:sz w:val="24"/>
            </w:rPr>
            <w:t xml:space="preserve">INFORME DE </w:t>
          </w:r>
          <w:r w:rsidR="0058292E">
            <w:rPr>
              <w:sz w:val="24"/>
            </w:rPr>
            <w:t>GESTIÓN PARA</w:t>
          </w:r>
          <w:r>
            <w:rPr>
              <w:sz w:val="24"/>
            </w:rPr>
            <w:t xml:space="preserve"> CONSEJO DE ADMINISTRACIÓN </w:t>
          </w:r>
        </w:p>
      </w:tc>
    </w:tr>
    <w:tr w:rsidR="002906ED" w14:paraId="6D8E1015" w14:textId="77777777">
      <w:trPr>
        <w:trHeight w:val="341"/>
        <w:jc w:val="center"/>
      </w:trPr>
      <w:tc>
        <w:tcPr>
          <w:tcW w:w="1419" w:type="dxa"/>
          <w:vMerge/>
        </w:tcPr>
        <w:p w14:paraId="2B4D00B4" w14:textId="77777777" w:rsidR="002906ED" w:rsidRDefault="002906ED">
          <w:pPr>
            <w:widowControl w:val="0"/>
            <w:pBdr>
              <w:top w:val="nil"/>
              <w:left w:val="nil"/>
              <w:bottom w:val="nil"/>
              <w:right w:val="nil"/>
              <w:between w:val="nil"/>
            </w:pBdr>
            <w:spacing w:line="276" w:lineRule="auto"/>
          </w:pPr>
        </w:p>
      </w:tc>
      <w:tc>
        <w:tcPr>
          <w:tcW w:w="3679" w:type="dxa"/>
          <w:vAlign w:val="center"/>
        </w:tcPr>
        <w:p w14:paraId="4420CBF6" w14:textId="77777777" w:rsidR="002906ED" w:rsidRDefault="000D7E79">
          <w:pPr>
            <w:jc w:val="center"/>
            <w:rPr>
              <w:b/>
              <w:sz w:val="20"/>
              <w:szCs w:val="20"/>
            </w:rPr>
          </w:pPr>
          <w:r>
            <w:rPr>
              <w:b/>
              <w:sz w:val="20"/>
              <w:szCs w:val="20"/>
            </w:rPr>
            <w:t xml:space="preserve">FORMATO DE APOYO </w:t>
          </w:r>
        </w:p>
      </w:tc>
      <w:tc>
        <w:tcPr>
          <w:tcW w:w="3679" w:type="dxa"/>
          <w:vAlign w:val="center"/>
        </w:tcPr>
        <w:p w14:paraId="393D7CA7" w14:textId="77777777" w:rsidR="002906ED" w:rsidRDefault="000D7E79">
          <w:pPr>
            <w:jc w:val="center"/>
            <w:rPr>
              <w:sz w:val="20"/>
              <w:szCs w:val="20"/>
            </w:rPr>
          </w:pPr>
          <w:r>
            <w:rPr>
              <w:sz w:val="20"/>
              <w:szCs w:val="20"/>
            </w:rPr>
            <w:t>COMITÉ DE EVALUACION CARTERA</w:t>
          </w:r>
        </w:p>
      </w:tc>
      <w:tc>
        <w:tcPr>
          <w:tcW w:w="3084" w:type="dxa"/>
          <w:vAlign w:val="center"/>
        </w:tcPr>
        <w:p w14:paraId="06E3D5CF" w14:textId="77777777" w:rsidR="002906ED" w:rsidRDefault="002906ED">
          <w:pPr>
            <w:jc w:val="center"/>
            <w:rPr>
              <w:sz w:val="20"/>
              <w:szCs w:val="20"/>
            </w:rPr>
          </w:pPr>
        </w:p>
      </w:tc>
    </w:tr>
  </w:tbl>
  <w:p w14:paraId="7E0BE412" w14:textId="77777777" w:rsidR="002906ED" w:rsidRDefault="002906ED">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76D16"/>
    <w:multiLevelType w:val="hybridMultilevel"/>
    <w:tmpl w:val="82487A4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43BF3067"/>
    <w:multiLevelType w:val="multilevel"/>
    <w:tmpl w:val="13B2D992"/>
    <w:lvl w:ilvl="0">
      <w:start w:val="8"/>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262768"/>
    <w:multiLevelType w:val="hybridMultilevel"/>
    <w:tmpl w:val="D71E125E"/>
    <w:lvl w:ilvl="0" w:tplc="240A0017">
      <w:start w:val="3"/>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2641398"/>
    <w:multiLevelType w:val="multilevel"/>
    <w:tmpl w:val="A5F07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AC128D"/>
    <w:multiLevelType w:val="multilevel"/>
    <w:tmpl w:val="D38C2F42"/>
    <w:lvl w:ilvl="0">
      <w:start w:val="1"/>
      <w:numFmt w:val="bullet"/>
      <w:lvlText w:val="•"/>
      <w:lvlJc w:val="left"/>
      <w:pPr>
        <w:ind w:left="709" w:hanging="70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39" w:hanging="1439"/>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59" w:hanging="2159"/>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79" w:hanging="287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599" w:hanging="3599"/>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19" w:hanging="4319"/>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39" w:hanging="503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59" w:hanging="5759"/>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79" w:hanging="6479"/>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63481274"/>
    <w:multiLevelType w:val="multilevel"/>
    <w:tmpl w:val="91C016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090216"/>
    <w:multiLevelType w:val="hybridMultilevel"/>
    <w:tmpl w:val="9E76C312"/>
    <w:lvl w:ilvl="0" w:tplc="B1429C82">
      <w:start w:val="3"/>
      <w:numFmt w:val="low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6B8F1E18"/>
    <w:multiLevelType w:val="multilevel"/>
    <w:tmpl w:val="77FC63DE"/>
    <w:lvl w:ilvl="0">
      <w:start w:val="5"/>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ED"/>
    <w:rsid w:val="00092085"/>
    <w:rsid w:val="000D7E79"/>
    <w:rsid w:val="00113127"/>
    <w:rsid w:val="002906ED"/>
    <w:rsid w:val="002C5B18"/>
    <w:rsid w:val="0058292E"/>
    <w:rsid w:val="005F0E8C"/>
    <w:rsid w:val="005F2A1C"/>
    <w:rsid w:val="007A654D"/>
    <w:rsid w:val="00BA65ED"/>
    <w:rsid w:val="00CF6E38"/>
    <w:rsid w:val="00EE1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929F"/>
  <w15:docId w15:val="{1FFD327F-AD1C-4E45-99C4-8E7286F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0D"/>
    <w:rPr>
      <w:lang w:eastAsia="es-ES"/>
    </w:rPr>
  </w:style>
  <w:style w:type="paragraph" w:styleId="Ttulo1">
    <w:name w:val="heading 1"/>
    <w:basedOn w:val="Normal"/>
    <w:next w:val="Normal"/>
    <w:qFormat/>
    <w:rsid w:val="00AC0232"/>
    <w:pPr>
      <w:keepNext/>
      <w:jc w:val="center"/>
      <w:outlineLvl w:val="0"/>
    </w:pPr>
    <w:rPr>
      <w:b/>
      <w:bCs/>
      <w:sz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E7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C0232"/>
    <w:pPr>
      <w:tabs>
        <w:tab w:val="center" w:pos="4252"/>
        <w:tab w:val="right" w:pos="8504"/>
      </w:tabs>
    </w:pPr>
    <w:rPr>
      <w:rFonts w:ascii="Times New Roman" w:hAnsi="Times New Roman"/>
      <w:lang w:val="es-CO"/>
    </w:rPr>
  </w:style>
  <w:style w:type="paragraph" w:customStyle="1" w:styleId="Textopredeterminado">
    <w:name w:val="Texto predeterminado"/>
    <w:basedOn w:val="Normal"/>
    <w:rsid w:val="00AC0232"/>
    <w:pPr>
      <w:overflowPunct w:val="0"/>
      <w:autoSpaceDE w:val="0"/>
      <w:autoSpaceDN w:val="0"/>
      <w:adjustRightInd w:val="0"/>
      <w:textAlignment w:val="baseline"/>
    </w:pPr>
    <w:rPr>
      <w:rFonts w:ascii="Times New Roman" w:hAnsi="Times New Roman"/>
      <w:szCs w:val="20"/>
      <w:lang w:val="en-US" w:eastAsia="es-CO"/>
    </w:rPr>
  </w:style>
  <w:style w:type="character" w:customStyle="1" w:styleId="EncabezadoCar">
    <w:name w:val="Encabezado Car"/>
    <w:link w:val="Encabezado"/>
    <w:semiHidden/>
    <w:rsid w:val="00B13570"/>
    <w:rPr>
      <w:sz w:val="24"/>
      <w:szCs w:val="24"/>
      <w:lang w:val="es-CO" w:eastAsia="es-ES" w:bidi="ar-SA"/>
    </w:rPr>
  </w:style>
  <w:style w:type="paragraph" w:styleId="Sangra3detindependiente">
    <w:name w:val="Body Text Indent 3"/>
    <w:basedOn w:val="Normal"/>
    <w:link w:val="Sangra3detindependienteCar"/>
    <w:rsid w:val="00B53BB4"/>
    <w:pPr>
      <w:ind w:hanging="76"/>
      <w:jc w:val="both"/>
    </w:pPr>
    <w:rPr>
      <w:rFonts w:eastAsia="MS Mincho"/>
      <w:sz w:val="20"/>
    </w:rPr>
  </w:style>
  <w:style w:type="character" w:customStyle="1" w:styleId="Sangra3detindependienteCar">
    <w:name w:val="Sangría 3 de t. independiente Car"/>
    <w:link w:val="Sangra3detindependiente"/>
    <w:rsid w:val="00B53BB4"/>
    <w:rPr>
      <w:rFonts w:ascii="Arial" w:eastAsia="MS Mincho" w:hAnsi="Arial" w:cs="Arial"/>
      <w:szCs w:val="24"/>
    </w:rPr>
  </w:style>
  <w:style w:type="paragraph" w:styleId="NormalWeb">
    <w:name w:val="Normal (Web)"/>
    <w:basedOn w:val="Normal"/>
    <w:uiPriority w:val="99"/>
    <w:unhideWhenUsed/>
    <w:rsid w:val="00A230FF"/>
    <w:pPr>
      <w:spacing w:before="100" w:beforeAutospacing="1" w:after="100" w:afterAutospacing="1"/>
    </w:pPr>
    <w:rPr>
      <w:rFonts w:ascii="Times New Roman" w:hAnsi="Times New Roman"/>
    </w:rPr>
  </w:style>
  <w:style w:type="paragraph" w:styleId="Prrafodelista">
    <w:name w:val="List Paragraph"/>
    <w:basedOn w:val="Normal"/>
    <w:uiPriority w:val="34"/>
    <w:qFormat/>
    <w:rsid w:val="00A230FF"/>
    <w:pPr>
      <w:ind w:left="720"/>
      <w:contextualSpacing/>
    </w:pPr>
  </w:style>
  <w:style w:type="paragraph" w:styleId="Textodeglobo">
    <w:name w:val="Balloon Text"/>
    <w:basedOn w:val="Normal"/>
    <w:link w:val="TextodegloboCar"/>
    <w:rsid w:val="00F4633D"/>
    <w:rPr>
      <w:rFonts w:ascii="Tahoma" w:hAnsi="Tahoma" w:cs="Tahoma"/>
      <w:sz w:val="16"/>
      <w:szCs w:val="16"/>
    </w:rPr>
  </w:style>
  <w:style w:type="character" w:customStyle="1" w:styleId="TextodegloboCar">
    <w:name w:val="Texto de globo Car"/>
    <w:basedOn w:val="Fuentedeprrafopredeter"/>
    <w:link w:val="Textodeglobo"/>
    <w:rsid w:val="00F4633D"/>
    <w:rPr>
      <w:rFonts w:ascii="Tahoma" w:hAnsi="Tahoma" w:cs="Tahoma"/>
      <w:sz w:val="16"/>
      <w:szCs w:val="16"/>
      <w:lang w:eastAsia="es-ES"/>
    </w:rPr>
  </w:style>
  <w:style w:type="paragraph" w:styleId="Sinespaciado">
    <w:name w:val="No Spacing"/>
    <w:uiPriority w:val="1"/>
    <w:qFormat/>
    <w:rsid w:val="00F4774B"/>
    <w:pPr>
      <w:suppressAutoHyphens/>
    </w:pPr>
    <w:rPr>
      <w:rFonts w:ascii="Maiandra GD" w:hAnsi="Maiandra GD"/>
      <w:lang w:eastAsia="zh-CN"/>
    </w:rPr>
  </w:style>
  <w:style w:type="paragraph" w:styleId="Piedepgina">
    <w:name w:val="footer"/>
    <w:basedOn w:val="Normal"/>
    <w:link w:val="PiedepginaCar"/>
    <w:unhideWhenUsed/>
    <w:rsid w:val="00D53B62"/>
    <w:pPr>
      <w:tabs>
        <w:tab w:val="center" w:pos="4419"/>
        <w:tab w:val="right" w:pos="8838"/>
      </w:tabs>
    </w:pPr>
  </w:style>
  <w:style w:type="character" w:customStyle="1" w:styleId="PiedepginaCar">
    <w:name w:val="Pie de página Car"/>
    <w:basedOn w:val="Fuentedeprrafopredeter"/>
    <w:link w:val="Piedepgina"/>
    <w:rsid w:val="00D53B62"/>
    <w:rPr>
      <w:rFonts w:ascii="Arial" w:hAnsi="Arial"/>
      <w:sz w:val="24"/>
      <w:szCs w:val="24"/>
      <w:lang w:eastAsia="es-ES"/>
    </w:rPr>
  </w:style>
  <w:style w:type="paragraph" w:styleId="Textoindependiente">
    <w:name w:val="Body Text"/>
    <w:basedOn w:val="Normal"/>
    <w:link w:val="TextoindependienteCar"/>
    <w:semiHidden/>
    <w:unhideWhenUsed/>
    <w:rsid w:val="00E35F93"/>
    <w:pPr>
      <w:spacing w:after="120"/>
    </w:pPr>
  </w:style>
  <w:style w:type="character" w:customStyle="1" w:styleId="TextoindependienteCar">
    <w:name w:val="Texto independiente Car"/>
    <w:basedOn w:val="Fuentedeprrafopredeter"/>
    <w:link w:val="Textoindependiente"/>
    <w:semiHidden/>
    <w:rsid w:val="00E35F93"/>
    <w:rPr>
      <w:rFonts w:ascii="Arial" w:hAnsi="Arial"/>
      <w:sz w:val="24"/>
      <w:szCs w:val="24"/>
      <w:lang w:eastAsia="es-ES"/>
    </w:rPr>
  </w:style>
  <w:style w:type="paragraph" w:customStyle="1" w:styleId="has-text-align-justify">
    <w:name w:val="has-text-align-justify"/>
    <w:basedOn w:val="Normal"/>
    <w:rsid w:val="00B24815"/>
    <w:pPr>
      <w:spacing w:before="100" w:beforeAutospacing="1" w:after="100" w:afterAutospacing="1"/>
    </w:pPr>
    <w:rPr>
      <w:rFonts w:ascii="Times New Roman" w:hAnsi="Times New Roman"/>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hP0bdBv9swcR3I6fSkzi4e3BA==">AMUW2mVL45Eb9IfgaiUx4Wtf2fRgojcU/OIQ7kF5rIanaqL6wPlWeJVgfYpIFXDFES2gFPHSF5Pcqhw1UFZxxmpy2x5TLZa0EWpUQqrmWOPBB9K5W4SZMzI=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2021-02-27T01:16:00Z</dcterms:created>
  <dcterms:modified xsi:type="dcterms:W3CDTF">2021-03-02T02:50:00Z</dcterms:modified>
</cp:coreProperties>
</file>